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0E" w:rsidRDefault="00086E0E" w:rsidP="00086E0E">
      <w:pPr>
        <w:jc w:val="center"/>
        <w:rPr>
          <w:rFonts w:ascii="Times New Roman" w:hAnsi="Times New Roman" w:cs="Times New Roman"/>
          <w:sz w:val="28"/>
          <w:szCs w:val="28"/>
        </w:rPr>
      </w:pPr>
    </w:p>
    <w:p w:rsidR="00086E0E" w:rsidRDefault="00086E0E" w:rsidP="00086E0E">
      <w:pPr>
        <w:jc w:val="center"/>
        <w:rPr>
          <w:rFonts w:ascii="Times New Roman" w:hAnsi="Times New Roman" w:cs="Times New Roman"/>
          <w:sz w:val="28"/>
          <w:szCs w:val="28"/>
        </w:rPr>
      </w:pPr>
    </w:p>
    <w:p w:rsidR="00086E0E" w:rsidRDefault="00086E0E" w:rsidP="00086E0E">
      <w:pPr>
        <w:jc w:val="center"/>
        <w:rPr>
          <w:rFonts w:ascii="Times New Roman" w:hAnsi="Times New Roman" w:cs="Times New Roman"/>
          <w:sz w:val="28"/>
          <w:szCs w:val="28"/>
        </w:rPr>
      </w:pPr>
    </w:p>
    <w:p w:rsidR="00086E0E" w:rsidRPr="005C4433" w:rsidRDefault="00086E0E" w:rsidP="00086E0E">
      <w:pPr>
        <w:jc w:val="center"/>
        <w:rPr>
          <w:rFonts w:ascii="Times New Roman" w:hAnsi="Times New Roman" w:cs="Times New Roman"/>
          <w:sz w:val="28"/>
          <w:szCs w:val="28"/>
        </w:rPr>
      </w:pPr>
      <w:r w:rsidRPr="005C4433">
        <w:rPr>
          <w:rFonts w:ascii="Times New Roman" w:hAnsi="Times New Roman" w:cs="Times New Roman"/>
          <w:sz w:val="28"/>
          <w:szCs w:val="28"/>
        </w:rPr>
        <w:t xml:space="preserve">III </w:t>
      </w:r>
      <w:r w:rsidRPr="005C4433">
        <w:rPr>
          <w:rFonts w:ascii="Times New Roman" w:hAnsi="Times New Roman" w:cs="Times New Roman"/>
          <w:sz w:val="28"/>
          <w:szCs w:val="28"/>
          <w:lang w:val="sr-Cyrl-CS"/>
        </w:rPr>
        <w:t>недеља</w:t>
      </w:r>
    </w:p>
    <w:p w:rsidR="00086E0E" w:rsidRPr="005C4433" w:rsidRDefault="00086E0E" w:rsidP="00086E0E">
      <w:pPr>
        <w:rPr>
          <w:rFonts w:ascii="Times New Roman" w:hAnsi="Times New Roman" w:cs="Times New Roman"/>
          <w:sz w:val="28"/>
          <w:szCs w:val="28"/>
        </w:rPr>
      </w:pPr>
    </w:p>
    <w:p w:rsidR="00086E0E" w:rsidRPr="005C4433" w:rsidRDefault="00086E0E" w:rsidP="00086E0E">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Облигационо право</w:t>
      </w:r>
    </w:p>
    <w:p w:rsidR="00086E0E" w:rsidRPr="005C4433" w:rsidRDefault="00086E0E" w:rsidP="00086E0E">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Појам и предмет облигационог права (стр. 70)</w:t>
      </w:r>
    </w:p>
    <w:p w:rsidR="00086E0E" w:rsidRPr="005C4433" w:rsidRDefault="00086E0E" w:rsidP="00086E0E">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Појам и особине облигационог односа (стр. 71-73)</w:t>
      </w:r>
    </w:p>
    <w:p w:rsidR="00086E0E" w:rsidRPr="005C4433" w:rsidRDefault="00086E0E" w:rsidP="00086E0E">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Подела и извори облигација (стр. 76)</w:t>
      </w:r>
    </w:p>
    <w:p w:rsidR="00086E0E" w:rsidRDefault="00086E0E" w:rsidP="00086E0E">
      <w:pPr>
        <w:rPr>
          <w:rFonts w:ascii="Times New Roman" w:hAnsi="Times New Roman" w:cs="Times New Roman"/>
          <w:sz w:val="20"/>
          <w:szCs w:val="20"/>
          <w:lang w:val="sr-Cyrl-CS"/>
        </w:rPr>
      </w:pPr>
    </w:p>
    <w:p w:rsidR="00086E0E" w:rsidRPr="00086E0E" w:rsidRDefault="00086E0E" w:rsidP="00086E0E">
      <w:pPr>
        <w:ind w:left="720"/>
        <w:rPr>
          <w:rFonts w:ascii="Times New Roman" w:hAnsi="Times New Roman" w:cs="Times New Roman"/>
          <w:b/>
          <w:sz w:val="24"/>
          <w:szCs w:val="24"/>
          <w:u w:val="single"/>
        </w:rPr>
      </w:pPr>
      <w:r w:rsidRPr="0091227C">
        <w:rPr>
          <w:rFonts w:ascii="Times New Roman" w:hAnsi="Times New Roman" w:cs="Times New Roman"/>
          <w:b/>
          <w:sz w:val="24"/>
          <w:szCs w:val="24"/>
          <w:u w:val="single"/>
          <w:lang w:val="sr-Cyrl-CS"/>
        </w:rPr>
        <w:t>Појам и предмет облигационог права</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w:t>
      </w:r>
      <w:r w:rsidRPr="0002202D">
        <w:rPr>
          <w:rFonts w:ascii="Times New Roman" w:hAnsi="Times New Roman" w:cs="Times New Roman"/>
          <w:sz w:val="24"/>
          <w:szCs w:val="24"/>
          <w:lang w:val="sr-Cyrl-CS"/>
        </w:rPr>
        <w:t>блига</w:t>
      </w:r>
      <w:r>
        <w:rPr>
          <w:rFonts w:ascii="Times New Roman" w:hAnsi="Times New Roman" w:cs="Times New Roman"/>
          <w:sz w:val="24"/>
          <w:szCs w:val="24"/>
          <w:lang w:val="sr-Cyrl-CS"/>
        </w:rPr>
        <w:t xml:space="preserve">ционо право ваља представља </w:t>
      </w:r>
      <w:r w:rsidRPr="0002202D">
        <w:rPr>
          <w:rFonts w:ascii="Times New Roman" w:hAnsi="Times New Roman" w:cs="Times New Roman"/>
          <w:sz w:val="24"/>
          <w:szCs w:val="24"/>
          <w:lang w:val="sr-Cyrl-CS"/>
        </w:rPr>
        <w:t>систем правних норми којима су уређени правни односи између субјеката права у правном промету, а поводом преласка вредности из имовине једног у имовину другог субјекта права.</w:t>
      </w:r>
      <w:r>
        <w:rPr>
          <w:rFonts w:ascii="Times New Roman" w:hAnsi="Times New Roman" w:cs="Times New Roman"/>
          <w:sz w:val="24"/>
          <w:szCs w:val="24"/>
          <w:lang w:val="sr-Cyrl-CS"/>
        </w:rPr>
        <w:t xml:space="preserve"> </w:t>
      </w:r>
      <w:r w:rsidRPr="0002202D">
        <w:rPr>
          <w:rFonts w:ascii="Times New Roman" w:hAnsi="Times New Roman" w:cs="Times New Roman"/>
          <w:sz w:val="24"/>
          <w:szCs w:val="24"/>
          <w:lang w:val="sr-Cyrl-CS"/>
        </w:rPr>
        <w:t>Она врста правних односа у које субјекти права ступају поводом преласка имовине односно имовинских вредности са једног у имовину другог субјекта права називају се у праву обл</w:t>
      </w:r>
      <w:r>
        <w:rPr>
          <w:rFonts w:ascii="Times New Roman" w:hAnsi="Times New Roman" w:cs="Times New Roman"/>
          <w:sz w:val="24"/>
          <w:szCs w:val="24"/>
          <w:lang w:val="sr-Cyrl-CS"/>
        </w:rPr>
        <w:t>игациони односи.</w:t>
      </w:r>
    </w:p>
    <w:p w:rsidR="00086E0E" w:rsidRDefault="00086E0E" w:rsidP="00086E0E">
      <w:pPr>
        <w:ind w:firstLine="720"/>
        <w:jc w:val="both"/>
        <w:rPr>
          <w:rFonts w:ascii="Times New Roman" w:hAnsi="Times New Roman" w:cs="Times New Roman"/>
          <w:sz w:val="24"/>
          <w:szCs w:val="24"/>
          <w:lang w:val="sr-Cyrl-CS"/>
        </w:rPr>
      </w:pPr>
      <w:r w:rsidRPr="0086620A">
        <w:rPr>
          <w:rFonts w:ascii="Times New Roman" w:hAnsi="Times New Roman" w:cs="Times New Roman"/>
          <w:b/>
          <w:i/>
          <w:sz w:val="24"/>
          <w:szCs w:val="24"/>
          <w:lang w:val="sr-Cyrl-CS"/>
        </w:rPr>
        <w:t>Облигациони однос</w:t>
      </w:r>
      <w:r>
        <w:rPr>
          <w:rFonts w:ascii="Times New Roman" w:hAnsi="Times New Roman" w:cs="Times New Roman"/>
          <w:sz w:val="24"/>
          <w:szCs w:val="24"/>
          <w:lang w:val="sr-Cyrl-CS"/>
        </w:rPr>
        <w:t xml:space="preserve"> или </w:t>
      </w:r>
      <w:r w:rsidRPr="0086620A">
        <w:rPr>
          <w:rFonts w:ascii="Times New Roman" w:hAnsi="Times New Roman" w:cs="Times New Roman"/>
          <w:b/>
          <w:i/>
          <w:sz w:val="24"/>
          <w:szCs w:val="24"/>
          <w:lang w:val="sr-Cyrl-CS"/>
        </w:rPr>
        <w:t>облигација</w:t>
      </w:r>
      <w:r>
        <w:rPr>
          <w:rFonts w:ascii="Times New Roman" w:hAnsi="Times New Roman" w:cs="Times New Roman"/>
          <w:sz w:val="24"/>
          <w:szCs w:val="24"/>
          <w:lang w:val="sr-Cyrl-CS"/>
        </w:rPr>
        <w:t xml:space="preserve"> је правни однос између две одређене стране на основу кога је једна од страна (поверилац</w:t>
      </w:r>
      <w:r>
        <w:rPr>
          <w:rFonts w:ascii="Times New Roman" w:hAnsi="Times New Roman" w:cs="Times New Roman"/>
          <w:sz w:val="24"/>
          <w:szCs w:val="24"/>
        </w:rPr>
        <w:t xml:space="preserve">, </w:t>
      </w:r>
      <w:r w:rsidRPr="002E4BE7">
        <w:rPr>
          <w:rFonts w:ascii="Times New Roman" w:hAnsi="Times New Roman" w:cs="Times New Roman"/>
          <w:i/>
          <w:sz w:val="24"/>
          <w:szCs w:val="24"/>
        </w:rPr>
        <w:t>creditor</w:t>
      </w:r>
      <w:r>
        <w:rPr>
          <w:rFonts w:ascii="Times New Roman" w:hAnsi="Times New Roman" w:cs="Times New Roman"/>
          <w:sz w:val="24"/>
          <w:szCs w:val="24"/>
          <w:lang w:val="sr-Cyrl-CS"/>
        </w:rPr>
        <w:t>) овлашћена да од друге стране (дужника</w:t>
      </w:r>
      <w:r>
        <w:rPr>
          <w:rFonts w:ascii="Times New Roman" w:hAnsi="Times New Roman" w:cs="Times New Roman"/>
          <w:sz w:val="24"/>
          <w:szCs w:val="24"/>
        </w:rPr>
        <w:t xml:space="preserve">, </w:t>
      </w:r>
      <w:proofErr w:type="spellStart"/>
      <w:r w:rsidRPr="002E4BE7">
        <w:rPr>
          <w:rFonts w:ascii="Times New Roman" w:hAnsi="Times New Roman" w:cs="Times New Roman"/>
          <w:i/>
          <w:sz w:val="24"/>
          <w:szCs w:val="24"/>
        </w:rPr>
        <w:t>debitor</w:t>
      </w:r>
      <w:proofErr w:type="spellEnd"/>
      <w:r>
        <w:rPr>
          <w:rFonts w:ascii="Times New Roman" w:hAnsi="Times New Roman" w:cs="Times New Roman"/>
          <w:sz w:val="24"/>
          <w:szCs w:val="24"/>
          <w:lang w:val="sr-Cyrl-CS"/>
        </w:rPr>
        <w:t>) захтева одређено давање, чињење или уздржавање од нечега што би иначе имала право да чини да није ступила у тај однос, а друга страна је дужна да то испуни. Евидентно је да из угла повериоца са једне односно дужника са друге стране облигациони однос нема истоветно значење. За повериоца је облигација право односно овлашћење да од друге стране у том правном односу нешто захтева (потражује). За дужника пак облигација представља обавезу поступања по захтеву повериоца. Наравно, под облигацијом се подразумева и потраживање и обавеза у својеврсној правној симбиози сходно којој ови појмови стоје у корелативном односу. Ово је</w:t>
      </w:r>
      <w:r>
        <w:rPr>
          <w:rFonts w:ascii="Times New Roman" w:hAnsi="Times New Roman" w:cs="Times New Roman"/>
          <w:sz w:val="24"/>
          <w:szCs w:val="24"/>
        </w:rPr>
        <w:t xml:space="preserve"> </w:t>
      </w:r>
      <w:r>
        <w:rPr>
          <w:rFonts w:ascii="Times New Roman" w:hAnsi="Times New Roman" w:cs="Times New Roman"/>
          <w:sz w:val="24"/>
          <w:szCs w:val="24"/>
          <w:lang w:val="sr-Cyrl-CS"/>
        </w:rPr>
        <w:t>потребно нагласити обзиром да се термин облигација не тако ретко користи у једном ужем и неодговарајућем значењу – у значењу обавезе (дуга) који произилази из облигационог односа.</w:t>
      </w:r>
      <w:r w:rsidRPr="0002202D">
        <w:rPr>
          <w:rFonts w:ascii="Times New Roman" w:hAnsi="Times New Roman" w:cs="Times New Roman"/>
          <w:sz w:val="24"/>
          <w:szCs w:val="24"/>
          <w:lang w:val="sr-Cyrl-CS"/>
        </w:rPr>
        <w:t xml:space="preserve"> </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Облигације се међусобно могу издвајати и груписати према одређеним заједничким обележјима односно критеријумима, а поделе до којих се на овај начин долази имају несумљиво снажну теоријску димензију али им се истовремено не може оспорити велики значај у смислу пуног разумевања како суштине тако и обухвата облигационих односа.</w:t>
      </w:r>
    </w:p>
    <w:p w:rsidR="00086E0E" w:rsidRDefault="00086E0E" w:rsidP="00086E0E">
      <w:pPr>
        <w:ind w:firstLine="720"/>
        <w:jc w:val="both"/>
        <w:rPr>
          <w:rFonts w:ascii="Times New Roman" w:hAnsi="Times New Roman" w:cs="Times New Roman"/>
          <w:sz w:val="24"/>
          <w:szCs w:val="24"/>
        </w:rPr>
      </w:pP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70-76)</w:t>
      </w:r>
    </w:p>
    <w:p w:rsidR="00086E0E" w:rsidRPr="00AE368C" w:rsidRDefault="00086E0E" w:rsidP="00086E0E">
      <w:pPr>
        <w:ind w:firstLine="720"/>
        <w:jc w:val="both"/>
        <w:rPr>
          <w:rFonts w:ascii="Times New Roman" w:hAnsi="Times New Roman" w:cs="Times New Roman"/>
          <w:sz w:val="24"/>
          <w:szCs w:val="24"/>
        </w:rPr>
      </w:pPr>
    </w:p>
    <w:p w:rsidR="00086E0E" w:rsidRPr="0002202D" w:rsidRDefault="00086E0E" w:rsidP="00086E0E">
      <w:pPr>
        <w:ind w:firstLine="360"/>
        <w:jc w:val="both"/>
        <w:rPr>
          <w:rFonts w:ascii="Times New Roman" w:hAnsi="Times New Roman" w:cs="Times New Roman"/>
          <w:sz w:val="24"/>
          <w:szCs w:val="24"/>
        </w:rPr>
      </w:pPr>
    </w:p>
    <w:p w:rsidR="00086E0E" w:rsidRPr="0002202D" w:rsidRDefault="00086E0E" w:rsidP="00086E0E">
      <w:pPr>
        <w:rPr>
          <w:rFonts w:ascii="Times New Roman" w:hAnsi="Times New Roman" w:cs="Times New Roman"/>
          <w:sz w:val="20"/>
          <w:szCs w:val="20"/>
        </w:rPr>
      </w:pPr>
    </w:p>
    <w:p w:rsidR="00086E0E" w:rsidRPr="005C4433" w:rsidRDefault="00086E0E" w:rsidP="00086E0E">
      <w:pPr>
        <w:pStyle w:val="ListParagraph"/>
        <w:rPr>
          <w:rFonts w:ascii="Times New Roman" w:hAnsi="Times New Roman" w:cs="Times New Roman"/>
          <w:sz w:val="28"/>
          <w:szCs w:val="28"/>
          <w:lang w:val="sr-Cyrl-CS"/>
        </w:rPr>
      </w:pPr>
    </w:p>
    <w:p w:rsidR="00086E0E" w:rsidRPr="005C4433" w:rsidRDefault="00086E0E" w:rsidP="00086E0E">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Облигациони уговор</w:t>
      </w:r>
    </w:p>
    <w:p w:rsidR="00086E0E" w:rsidRPr="005C4433" w:rsidRDefault="00086E0E" w:rsidP="00086E0E">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Појам и основна начела уговора (стр. 76-78)</w:t>
      </w:r>
    </w:p>
    <w:p w:rsidR="00086E0E" w:rsidRPr="005C4433" w:rsidRDefault="00086E0E" w:rsidP="00086E0E">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Подела (врсте) и закључење уговора (стр. 80-88)</w:t>
      </w:r>
    </w:p>
    <w:p w:rsidR="00086E0E" w:rsidRDefault="00086E0E" w:rsidP="00086E0E">
      <w:pPr>
        <w:rPr>
          <w:rFonts w:ascii="Times New Roman" w:hAnsi="Times New Roman" w:cs="Times New Roman"/>
          <w:sz w:val="20"/>
          <w:szCs w:val="20"/>
          <w:lang w:val="sr-Cyrl-CS"/>
        </w:rPr>
      </w:pPr>
    </w:p>
    <w:p w:rsidR="00086E0E" w:rsidRPr="00086E0E" w:rsidRDefault="00086E0E" w:rsidP="00086E0E">
      <w:pPr>
        <w:ind w:left="720"/>
        <w:rPr>
          <w:rFonts w:ascii="Times New Roman" w:hAnsi="Times New Roman" w:cs="Times New Roman"/>
          <w:b/>
          <w:sz w:val="24"/>
          <w:szCs w:val="24"/>
          <w:u w:val="single"/>
        </w:rPr>
      </w:pPr>
      <w:r w:rsidRPr="000B57F2">
        <w:rPr>
          <w:rFonts w:ascii="Times New Roman" w:hAnsi="Times New Roman" w:cs="Times New Roman"/>
          <w:b/>
          <w:sz w:val="24"/>
          <w:szCs w:val="24"/>
          <w:u w:val="single"/>
          <w:lang w:val="sr-Cyrl-CS"/>
        </w:rPr>
        <w:t>Појам и основна начела уговора</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Према традиционалном схватању уговор је сагласност воља два или више лица којом се постиже неко правно дејство. Имајући у виду да је воља човеков унутрашњи психолошки феномен и да правне и друге ефекте у спољном свету може производити само ако је на неки начин изјављена није погрешно уговор одредити и као сагласну изјаву воља два или више лица којом се постиже неко правно дејство.</w:t>
      </w:r>
    </w:p>
    <w:p w:rsid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Сагласност воља међутим није једини услов који мора бити испуњен да би уговор настао и производио правна дејства. Правне претпоставке које се односе на пуноважно закључење уговора односе се и на способност уговарања, предмет и основ, а у неким случајевима и форму уговора. Основна начела уговорног права су начело слободе уговарања и начело консенсуализма.</w:t>
      </w:r>
      <w:r>
        <w:rPr>
          <w:rFonts w:ascii="Times New Roman" w:hAnsi="Times New Roman" w:cs="Times New Roman"/>
          <w:sz w:val="24"/>
          <w:szCs w:val="24"/>
        </w:rPr>
        <w:t xml:space="preserve"> </w:t>
      </w:r>
      <w:r>
        <w:rPr>
          <w:rFonts w:ascii="Times New Roman" w:hAnsi="Times New Roman" w:cs="Times New Roman"/>
          <w:sz w:val="24"/>
          <w:szCs w:val="24"/>
          <w:lang w:val="sr-Cyrl-CS"/>
        </w:rPr>
        <w:t>Њихова примена међутим није неограничена, сасвим супротно: и једно и друго начело трпе знатна ограничења.</w:t>
      </w:r>
    </w:p>
    <w:p w:rsid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Начело слободне уговарања је најпотпуније изражено кроз учење (теорију) о аутономији воље. У оквиру облигационог права њиме се означава слобода субјеката права да самостално одлуче о томе да ли ће или не уопште закључити неки уговора, са ким ће га закључити и каква ће бити његова садржина. Ипак аутономија воље у свом апсолутном смислу није никада ни у једном правном поретку била прихваћена, а нереално је очекивати и да ће бити. На општи начин аутономија воље је ограничена путем установе јавног поретка и то кроз забрану заснивања и уређења облигационих односа противно принудним прописима или добрим обичајима. Конкретизација овакве забране присутна је у материји недопуштеног предмета и основа уговора, ништавности уговора као и код недопуштеног услова уговора. Слобода уговарања је даље ограничена у случајевима када се законом предвиђа обавеза закључења уговора (обавезно осигурање путника у јавном </w:t>
      </w:r>
    </w:p>
    <w:p w:rsidR="00086E0E" w:rsidRDefault="00086E0E" w:rsidP="00086E0E">
      <w:pPr>
        <w:jc w:val="both"/>
        <w:rPr>
          <w:rFonts w:ascii="Times New Roman" w:hAnsi="Times New Roman" w:cs="Times New Roman"/>
          <w:sz w:val="24"/>
          <w:szCs w:val="24"/>
        </w:rPr>
      </w:pPr>
    </w:p>
    <w:p w:rsidR="00086E0E" w:rsidRDefault="00086E0E" w:rsidP="00086E0E">
      <w:pPr>
        <w:jc w:val="both"/>
        <w:rPr>
          <w:rFonts w:ascii="Times New Roman" w:hAnsi="Times New Roman" w:cs="Times New Roman"/>
          <w:sz w:val="24"/>
          <w:szCs w:val="24"/>
        </w:rPr>
      </w:pPr>
    </w:p>
    <w:p w:rsidR="00086E0E" w:rsidRDefault="00086E0E" w:rsidP="00086E0E">
      <w:pPr>
        <w:jc w:val="both"/>
        <w:rPr>
          <w:rFonts w:ascii="Times New Roman" w:hAnsi="Times New Roman" w:cs="Times New Roman"/>
          <w:sz w:val="24"/>
          <w:szCs w:val="24"/>
        </w:rPr>
      </w:pPr>
      <w:r>
        <w:rPr>
          <w:rFonts w:ascii="Times New Roman" w:hAnsi="Times New Roman" w:cs="Times New Roman"/>
          <w:sz w:val="24"/>
          <w:szCs w:val="24"/>
          <w:lang w:val="sr-Cyrl-CS"/>
        </w:rPr>
        <w:t xml:space="preserve">саобраћају) или обавезна стицања претходне (дозвола) или накнадне (одобрење) сагласност трећег лица за закључење уговора (одобрење у случају закључења уговора од стране неовлашћеног лица; одобрење у случају испуњења облигације трећем лицу; дозвола за давање закупљене ствари у подзакуп; дозвола залогодавца за установљавање подзалоге). Ограничена може бити и воља уговарача у погледу садржине уговора у свим оним случајевима када закон прописује обавезне елементе неког уговора. Овај вид слободе уговарања је ограничен и код тзв. уговора по приступу где једна уговорна страна унапред утврђује садржину уговора, а друга уговору може приступити (закључити га) или не. </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Начело консенсуализма значи да се уговори могу закључивати простом сагласношћу воља односно без обзира на који начин њихова воља била изражена: усмено, писмено, конклудентним радњама, знацима или на било који други начин на који се посредно или непосредно манифестује воља уговарача. И ово начело међутим трпи бројне изузетке. У нашем позитивном праву у писменој форми морају бити закључени уговор о промету непокретности, продаја са оброчним отплатама цене, уговор о грађењу, уговор о трговачком заступању, уговор о лиценци, уговор о алотману, уговор о осигурању, уговори у области ауторских права и бројни други уговори. Без обзира на тренд пораста броја формалних уговора они постоје само ако се изричито предвиде, а неформални увек када није шта друго предвиђено.</w:t>
      </w:r>
    </w:p>
    <w:p w:rsidR="00086E0E" w:rsidRDefault="00086E0E" w:rsidP="00086E0E">
      <w:pPr>
        <w:ind w:firstLine="720"/>
        <w:jc w:val="both"/>
        <w:rPr>
          <w:rFonts w:ascii="Times New Roman" w:hAnsi="Times New Roman" w:cs="Times New Roman"/>
          <w:sz w:val="24"/>
          <w:szCs w:val="24"/>
          <w:lang w:val="sr-Cyrl-CS"/>
        </w:rPr>
      </w:pPr>
    </w:p>
    <w:p w:rsidR="00086E0E" w:rsidRPr="00086E0E" w:rsidRDefault="00086E0E" w:rsidP="00086E0E">
      <w:pPr>
        <w:ind w:firstLine="720"/>
        <w:jc w:val="both"/>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Врсте и закључење уговора</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 врстама уговора може се говорити на основу бројних и разноврсних критеријума. Обзиром на посебна правила која се примењују само на одређене категорије уговора свака од подела има, поред теоријске, и одређену практичну вредност.</w:t>
      </w:r>
    </w:p>
    <w:p w:rsidR="00086E0E" w:rsidRPr="005C4433"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Раније је већ констатовано да уговор настаје сагласношћу воља односно на основу сагласне изјаве воља уговорних страна. Сагласност воља међутим није једини услов који мора бити испуњен да би уговор настао и производио правна дејства. Правне претпоставке које се односе на пуноважно закључење уговора односе се и на способност уговарања, предмет и основ, а у неким случајевима и форму уговора.</w:t>
      </w:r>
      <w:r>
        <w:rPr>
          <w:rFonts w:ascii="Times New Roman" w:hAnsi="Times New Roman" w:cs="Times New Roman"/>
          <w:sz w:val="24"/>
          <w:szCs w:val="24"/>
        </w:rPr>
        <w:t xml:space="preserve"> </w:t>
      </w:r>
      <w:r>
        <w:rPr>
          <w:rFonts w:ascii="Times New Roman" w:hAnsi="Times New Roman" w:cs="Times New Roman"/>
          <w:sz w:val="24"/>
          <w:szCs w:val="24"/>
          <w:lang w:val="sr-Cyrl-CS"/>
        </w:rPr>
        <w:t>Уз испуњење свих неопходних услова уговор настаје тако што једна страна другој упути понуду (предлог) за закључење уговора, а друга страна такву понуду безусловно прихвати. Разуме се, и понуда али и прихват понуде, као једностране изјаве воља понудиоца, односно прихватиоца понуде, морају имати одређене елементе и карактеристике да би исходили закључењем правно ваљаног уговора.</w:t>
      </w:r>
    </w:p>
    <w:p w:rsidR="00086E0E" w:rsidRDefault="00086E0E" w:rsidP="00086E0E">
      <w:pPr>
        <w:ind w:firstLine="720"/>
        <w:jc w:val="both"/>
        <w:rPr>
          <w:rFonts w:ascii="Times New Roman" w:hAnsi="Times New Roman" w:cs="Times New Roman"/>
          <w:sz w:val="24"/>
          <w:szCs w:val="24"/>
        </w:rPr>
      </w:pPr>
    </w:p>
    <w:p w:rsidR="00086E0E" w:rsidRDefault="00086E0E" w:rsidP="00086E0E">
      <w:pPr>
        <w:ind w:firstLine="720"/>
        <w:jc w:val="both"/>
        <w:rPr>
          <w:rFonts w:ascii="Times New Roman" w:hAnsi="Times New Roman" w:cs="Times New Roman"/>
          <w:sz w:val="24"/>
          <w:szCs w:val="24"/>
          <w:lang w:val="sr-Cyrl-CS"/>
        </w:rPr>
      </w:pPr>
    </w:p>
    <w:p w:rsidR="00086E0E" w:rsidRDefault="00086E0E" w:rsidP="00086E0E">
      <w:pPr>
        <w:ind w:firstLine="720"/>
        <w:jc w:val="both"/>
        <w:rPr>
          <w:rFonts w:ascii="Times New Roman" w:hAnsi="Times New Roman" w:cs="Times New Roman"/>
          <w:sz w:val="24"/>
          <w:szCs w:val="24"/>
          <w:lang w:val="sr-Cyrl-CS"/>
        </w:rPr>
      </w:pP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76-88)</w:t>
      </w:r>
    </w:p>
    <w:p w:rsidR="00086E0E" w:rsidRPr="00086E0E" w:rsidRDefault="00086E0E" w:rsidP="00086E0E">
      <w:pPr>
        <w:rPr>
          <w:rFonts w:ascii="Times New Roman" w:hAnsi="Times New Roman" w:cs="Times New Roman"/>
          <w:sz w:val="20"/>
          <w:szCs w:val="20"/>
        </w:rPr>
      </w:pPr>
    </w:p>
    <w:p w:rsidR="00086E0E" w:rsidRPr="00E63834" w:rsidRDefault="00086E0E" w:rsidP="00086E0E">
      <w:pPr>
        <w:pStyle w:val="ListParagraph"/>
        <w:rPr>
          <w:rFonts w:ascii="Times New Roman" w:hAnsi="Times New Roman" w:cs="Times New Roman"/>
          <w:sz w:val="28"/>
          <w:szCs w:val="28"/>
          <w:lang w:val="sr-Cyrl-CS"/>
        </w:rPr>
      </w:pPr>
    </w:p>
    <w:p w:rsidR="00086E0E" w:rsidRPr="00E63834" w:rsidRDefault="00086E0E" w:rsidP="00086E0E">
      <w:pPr>
        <w:pStyle w:val="ListParagraph"/>
        <w:numPr>
          <w:ilvl w:val="0"/>
          <w:numId w:val="1"/>
        </w:numPr>
        <w:rPr>
          <w:rFonts w:ascii="Times New Roman" w:hAnsi="Times New Roman" w:cs="Times New Roman"/>
          <w:sz w:val="28"/>
          <w:szCs w:val="28"/>
          <w:u w:val="single"/>
          <w:lang w:val="sr-Cyrl-CS"/>
        </w:rPr>
      </w:pPr>
      <w:r w:rsidRPr="00E63834">
        <w:rPr>
          <w:rFonts w:ascii="Times New Roman" w:hAnsi="Times New Roman" w:cs="Times New Roman"/>
          <w:sz w:val="28"/>
          <w:szCs w:val="28"/>
          <w:u w:val="single"/>
          <w:lang w:val="sr-Cyrl-CS"/>
        </w:rPr>
        <w:t>Неважност уговора</w:t>
      </w:r>
    </w:p>
    <w:p w:rsidR="00086E0E" w:rsidRPr="00E63834" w:rsidRDefault="00086E0E" w:rsidP="00086E0E">
      <w:pPr>
        <w:pStyle w:val="ListParagraph"/>
        <w:numPr>
          <w:ilvl w:val="0"/>
          <w:numId w:val="2"/>
        </w:numPr>
        <w:rPr>
          <w:rFonts w:ascii="Times New Roman" w:hAnsi="Times New Roman" w:cs="Times New Roman"/>
          <w:sz w:val="28"/>
          <w:szCs w:val="28"/>
          <w:lang w:val="sr-Cyrl-CS"/>
        </w:rPr>
      </w:pPr>
      <w:r w:rsidRPr="00E63834">
        <w:rPr>
          <w:rFonts w:ascii="Times New Roman" w:hAnsi="Times New Roman" w:cs="Times New Roman"/>
          <w:sz w:val="28"/>
          <w:szCs w:val="28"/>
          <w:lang w:val="sr-Cyrl-CS"/>
        </w:rPr>
        <w:t>Појам и облици ништавих уговора (стр. 92)</w:t>
      </w:r>
    </w:p>
    <w:p w:rsidR="00086E0E" w:rsidRPr="00E63834" w:rsidRDefault="00086E0E" w:rsidP="00086E0E">
      <w:pPr>
        <w:pStyle w:val="ListParagraph"/>
        <w:numPr>
          <w:ilvl w:val="0"/>
          <w:numId w:val="2"/>
        </w:numPr>
        <w:rPr>
          <w:rFonts w:ascii="Times New Roman" w:hAnsi="Times New Roman" w:cs="Times New Roman"/>
          <w:sz w:val="28"/>
          <w:szCs w:val="28"/>
          <w:lang w:val="sr-Cyrl-CS"/>
        </w:rPr>
      </w:pPr>
      <w:r w:rsidRPr="00E63834">
        <w:rPr>
          <w:rFonts w:ascii="Times New Roman" w:hAnsi="Times New Roman" w:cs="Times New Roman"/>
          <w:sz w:val="28"/>
          <w:szCs w:val="28"/>
          <w:lang w:val="sr-Cyrl-CS"/>
        </w:rPr>
        <w:t>Појам и облици рушљивих уговора (стр. 94-97)</w:t>
      </w:r>
    </w:p>
    <w:p w:rsidR="00086E0E" w:rsidRPr="00E63834" w:rsidRDefault="00086E0E" w:rsidP="00086E0E">
      <w:pPr>
        <w:pStyle w:val="ListParagraph"/>
        <w:numPr>
          <w:ilvl w:val="0"/>
          <w:numId w:val="2"/>
        </w:numPr>
        <w:rPr>
          <w:rFonts w:ascii="Times New Roman" w:hAnsi="Times New Roman" w:cs="Times New Roman"/>
          <w:sz w:val="28"/>
          <w:szCs w:val="28"/>
          <w:lang w:val="sr-Cyrl-CS"/>
        </w:rPr>
      </w:pPr>
      <w:r w:rsidRPr="00E63834">
        <w:rPr>
          <w:rFonts w:ascii="Times New Roman" w:hAnsi="Times New Roman" w:cs="Times New Roman"/>
          <w:sz w:val="28"/>
          <w:szCs w:val="28"/>
          <w:lang w:val="sr-Cyrl-CS"/>
        </w:rPr>
        <w:t>Последице поништења уговора (стр. 92-97)</w:t>
      </w:r>
    </w:p>
    <w:p w:rsidR="00086E0E" w:rsidRDefault="00086E0E" w:rsidP="00086E0E">
      <w:pPr>
        <w:rPr>
          <w:rFonts w:ascii="Times New Roman" w:hAnsi="Times New Roman" w:cs="Times New Roman"/>
          <w:sz w:val="20"/>
          <w:szCs w:val="20"/>
          <w:lang w:val="sr-Cyrl-CS"/>
        </w:rPr>
      </w:pPr>
    </w:p>
    <w:p w:rsidR="00086E0E" w:rsidRPr="00086E0E" w:rsidRDefault="00086E0E" w:rsidP="00086E0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Неважност уговора</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У објективном праву се прави разлика међу неважећим уговорима и то како у односу на различите узроке неважности тако и у односу на различите санкције које прате неважеће уговоре. Према наведеним критеријумима неважећи уговори се традиционално деле на ништаве (апсолутно ништаве)  и рушљиве (релативно ништаве).</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Ништави уговори су они уговори који су противни принудним прописима, јавном поретку и добрим обичајима. Према ЗОО у категорију ових уговора спадају сви они уговори: а) који имају недопуштен, немогућ, неодређен или неодредив предмет; б) који немају основ (каузу) или је основ недопуштен; в) који су закључени од стране пословно неспособног лица; в) који су нису закључени у законом прописаној форми односно у уговореној форми, а закон или уговорне стране пуноважност уговора условљавају посебном формом.</w:t>
      </w:r>
    </w:p>
    <w:p w:rsid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Рушљивост уговора се у општем смислу примењује у материји недостатака (мана) воље (заблуда, превара, принуда) као и код ограничене пословне способности. Постоје међутим и неки други посебни случајеви, предвиђени ЗОО или неким другим прописом, у којима се стичу сва битна својства рушљивих уговора. То је рецимо случај код прекомерног оштећења. Но без обзира у којој материји постоји узрок рушљивости овакви уговори постоје, они производе правна дејства али могу бити поништени у предвиђеном року на захтев одређених лица и то због недостатака којима се примарно вређају појединачни интереса. </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 xml:space="preserve">(Литература: Слободан Ненадовић: </w:t>
      </w:r>
      <w:r w:rsidRPr="000C46AB">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92-97)</w:t>
      </w:r>
    </w:p>
    <w:p w:rsidR="00086E0E" w:rsidRDefault="00086E0E" w:rsidP="00086E0E">
      <w:pPr>
        <w:ind w:firstLine="720"/>
        <w:jc w:val="both"/>
        <w:rPr>
          <w:rFonts w:ascii="Times New Roman" w:hAnsi="Times New Roman" w:cs="Times New Roman"/>
          <w:sz w:val="24"/>
          <w:szCs w:val="24"/>
        </w:rPr>
      </w:pPr>
    </w:p>
    <w:p w:rsidR="00086E0E" w:rsidRPr="00DC17D1" w:rsidRDefault="00086E0E" w:rsidP="00086E0E">
      <w:pPr>
        <w:rPr>
          <w:rFonts w:ascii="Times New Roman" w:hAnsi="Times New Roman" w:cs="Times New Roman"/>
          <w:sz w:val="20"/>
          <w:szCs w:val="20"/>
          <w:lang w:val="sr-Cyrl-CS"/>
        </w:rPr>
      </w:pPr>
    </w:p>
    <w:p w:rsidR="00086E0E" w:rsidRDefault="00086E0E" w:rsidP="00086E0E">
      <w:pPr>
        <w:pStyle w:val="ListParagraph"/>
        <w:rPr>
          <w:rFonts w:ascii="Times New Roman" w:hAnsi="Times New Roman" w:cs="Times New Roman"/>
          <w:sz w:val="20"/>
          <w:szCs w:val="20"/>
          <w:lang w:val="sr-Cyrl-CS"/>
        </w:rPr>
      </w:pPr>
    </w:p>
    <w:p w:rsidR="00086E0E" w:rsidRPr="000C46AB" w:rsidRDefault="00086E0E" w:rsidP="00086E0E">
      <w:pPr>
        <w:pStyle w:val="ListParagraph"/>
        <w:numPr>
          <w:ilvl w:val="0"/>
          <w:numId w:val="1"/>
        </w:numPr>
        <w:rPr>
          <w:rFonts w:ascii="Times New Roman" w:hAnsi="Times New Roman" w:cs="Times New Roman"/>
          <w:sz w:val="28"/>
          <w:szCs w:val="28"/>
          <w:u w:val="single"/>
          <w:lang w:val="sr-Cyrl-CS"/>
        </w:rPr>
      </w:pPr>
      <w:r w:rsidRPr="000C46AB">
        <w:rPr>
          <w:rFonts w:ascii="Times New Roman" w:hAnsi="Times New Roman" w:cs="Times New Roman"/>
          <w:sz w:val="28"/>
          <w:szCs w:val="28"/>
          <w:u w:val="single"/>
          <w:lang w:val="sr-Cyrl-CS"/>
        </w:rPr>
        <w:t xml:space="preserve">Престанак уговора </w:t>
      </w:r>
    </w:p>
    <w:p w:rsidR="00086E0E" w:rsidRPr="000C46AB" w:rsidRDefault="00086E0E" w:rsidP="00086E0E">
      <w:pPr>
        <w:pStyle w:val="ListParagraph"/>
        <w:numPr>
          <w:ilvl w:val="0"/>
          <w:numId w:val="2"/>
        </w:numPr>
        <w:rPr>
          <w:rFonts w:ascii="Times New Roman" w:hAnsi="Times New Roman" w:cs="Times New Roman"/>
          <w:sz w:val="28"/>
          <w:szCs w:val="28"/>
          <w:lang w:val="sr-Cyrl-CS"/>
        </w:rPr>
      </w:pPr>
      <w:r w:rsidRPr="000C46AB">
        <w:rPr>
          <w:rFonts w:ascii="Times New Roman" w:hAnsi="Times New Roman" w:cs="Times New Roman"/>
          <w:sz w:val="28"/>
          <w:szCs w:val="28"/>
          <w:lang w:val="sr-Cyrl-CS"/>
        </w:rPr>
        <w:t>Престанак уговора на осноу раскида (споразумни раскид, раскид због неиспуњења, раскид уговора због промењених околности) (стр. 98-101)</w:t>
      </w:r>
    </w:p>
    <w:p w:rsidR="00086E0E" w:rsidRPr="000C46AB" w:rsidRDefault="00086E0E" w:rsidP="00086E0E">
      <w:pPr>
        <w:pStyle w:val="ListParagraph"/>
        <w:numPr>
          <w:ilvl w:val="0"/>
          <w:numId w:val="2"/>
        </w:numPr>
        <w:rPr>
          <w:rFonts w:ascii="Times New Roman" w:hAnsi="Times New Roman" w:cs="Times New Roman"/>
          <w:sz w:val="28"/>
          <w:szCs w:val="28"/>
          <w:lang w:val="sr-Cyrl-CS"/>
        </w:rPr>
      </w:pPr>
      <w:r w:rsidRPr="000C46AB">
        <w:rPr>
          <w:rFonts w:ascii="Times New Roman" w:hAnsi="Times New Roman" w:cs="Times New Roman"/>
          <w:sz w:val="28"/>
          <w:szCs w:val="28"/>
          <w:lang w:val="sr-Cyrl-CS"/>
        </w:rPr>
        <w:t>Престанак уговора услед немогућности извршења (стр. 101)</w:t>
      </w:r>
    </w:p>
    <w:p w:rsidR="00086E0E" w:rsidRPr="000C46AB" w:rsidRDefault="00086E0E" w:rsidP="00086E0E">
      <w:pPr>
        <w:pStyle w:val="ListParagraph"/>
        <w:numPr>
          <w:ilvl w:val="0"/>
          <w:numId w:val="2"/>
        </w:numPr>
        <w:rPr>
          <w:rFonts w:ascii="Times New Roman" w:hAnsi="Times New Roman" w:cs="Times New Roman"/>
          <w:sz w:val="28"/>
          <w:szCs w:val="28"/>
          <w:lang w:val="sr-Cyrl-CS"/>
        </w:rPr>
      </w:pPr>
      <w:r w:rsidRPr="000C46AB">
        <w:rPr>
          <w:rFonts w:ascii="Times New Roman" w:hAnsi="Times New Roman" w:cs="Times New Roman"/>
          <w:sz w:val="28"/>
          <w:szCs w:val="28"/>
          <w:lang w:val="sr-Cyrl-CS"/>
        </w:rPr>
        <w:t>Престанак уговора због прекомерног оштећења (стр. 102)</w:t>
      </w:r>
    </w:p>
    <w:p w:rsidR="00086E0E" w:rsidRPr="000C46AB" w:rsidRDefault="00086E0E" w:rsidP="00086E0E">
      <w:pPr>
        <w:pStyle w:val="ListParagraph"/>
        <w:numPr>
          <w:ilvl w:val="0"/>
          <w:numId w:val="2"/>
        </w:numPr>
        <w:rPr>
          <w:rFonts w:ascii="Times New Roman" w:hAnsi="Times New Roman" w:cs="Times New Roman"/>
          <w:sz w:val="28"/>
          <w:szCs w:val="28"/>
          <w:lang w:val="sr-Cyrl-CS"/>
        </w:rPr>
      </w:pPr>
      <w:r w:rsidRPr="000C46AB">
        <w:rPr>
          <w:rFonts w:ascii="Times New Roman" w:hAnsi="Times New Roman" w:cs="Times New Roman"/>
          <w:sz w:val="28"/>
          <w:szCs w:val="28"/>
          <w:lang w:val="sr-Cyrl-CS"/>
        </w:rPr>
        <w:t>Престанак уговора услед смрти уговарача (стр. 102)</w:t>
      </w:r>
    </w:p>
    <w:p w:rsidR="00086E0E" w:rsidRPr="000C46AB" w:rsidRDefault="00086E0E" w:rsidP="00086E0E">
      <w:pPr>
        <w:pStyle w:val="ListParagraph"/>
        <w:numPr>
          <w:ilvl w:val="0"/>
          <w:numId w:val="2"/>
        </w:numPr>
        <w:rPr>
          <w:rFonts w:ascii="Times New Roman" w:hAnsi="Times New Roman" w:cs="Times New Roman"/>
          <w:sz w:val="28"/>
          <w:szCs w:val="28"/>
          <w:lang w:val="sr-Cyrl-CS"/>
        </w:rPr>
      </w:pPr>
      <w:r w:rsidRPr="000C46AB">
        <w:rPr>
          <w:rFonts w:ascii="Times New Roman" w:hAnsi="Times New Roman" w:cs="Times New Roman"/>
          <w:sz w:val="28"/>
          <w:szCs w:val="28"/>
          <w:lang w:val="sr-Cyrl-CS"/>
        </w:rPr>
        <w:t>Зеленашки уговор (стр. 103)</w:t>
      </w:r>
    </w:p>
    <w:p w:rsidR="00086E0E" w:rsidRDefault="00086E0E" w:rsidP="00086E0E">
      <w:pPr>
        <w:rPr>
          <w:rFonts w:ascii="Times New Roman" w:hAnsi="Times New Roman" w:cs="Times New Roman"/>
          <w:sz w:val="20"/>
          <w:szCs w:val="20"/>
          <w:lang w:val="sr-Cyrl-CS"/>
        </w:rPr>
      </w:pPr>
    </w:p>
    <w:p w:rsidR="00086E0E" w:rsidRPr="00086E0E" w:rsidRDefault="00086E0E" w:rsidP="00086E0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Престанак уговора</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Уговор може престати на различите начине. Ван општих начина престанка облигација без обзира на њихов извор постоје и посебни начини престанка уговора који, разуме се, за последицу имају и престанак права и обавеза створених на основу уговора. Начелно, уговор може престати ако се противи некој правној норми или моралном правилу, некада саме странке могу одустати од закљученог уговора или то овлашћење може имати само једна од њих, а некада опет уговор може престати услед смрти уговарача. У овом смислу се у праву говори о престанку уговора услед поништења, раскида (споразумног или једностраног) или услед смрти уговорне стране.</w:t>
      </w:r>
      <w:r w:rsidRPr="00B25A00">
        <w:rPr>
          <w:rFonts w:ascii="Times New Roman" w:hAnsi="Times New Roman" w:cs="Times New Roman"/>
          <w:sz w:val="24"/>
          <w:szCs w:val="24"/>
          <w:lang w:val="sr-Cyrl-CS"/>
        </w:rPr>
        <w:t xml:space="preserve"> </w:t>
      </w:r>
    </w:p>
    <w:p w:rsidR="00086E0E" w:rsidRP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Зеленашки уговор је уговор у којем неко, користећи се стањем нужде или тешким материјалним стањем другог, његовим недовољним искуством, лакомисленошћу или зависношћу, уговори за себе или неко треће лице корист која је у очигледној несразмери са оним што је он другом дао или учинио, или се обавезао дати или учинити. Овакав уговор је сходно нашем ЗОО сврстан у категорију ништавих уговора па се на њега отуда и примењују законске одредбе везане за последице ништавих уговора. Ипак, зеленашки уговор може остати на снази уколико оштећени упути захтев да се његова обавеза смањи на правичан износ. Уколико таква могућност постоји и уколико је такав захтев поднет у року од пет година од дана закључења уговора суд ће захтеву оштећеног удовољити.</w:t>
      </w: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AF51E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98-103)</w:t>
      </w:r>
    </w:p>
    <w:p w:rsidR="00086E0E" w:rsidRDefault="00086E0E" w:rsidP="00086E0E">
      <w:pPr>
        <w:ind w:firstLine="720"/>
        <w:jc w:val="both"/>
        <w:rPr>
          <w:rFonts w:ascii="Times New Roman" w:hAnsi="Times New Roman" w:cs="Times New Roman"/>
          <w:sz w:val="24"/>
          <w:szCs w:val="24"/>
        </w:rPr>
      </w:pPr>
    </w:p>
    <w:p w:rsidR="00086E0E" w:rsidRDefault="00086E0E" w:rsidP="00086E0E">
      <w:pPr>
        <w:rPr>
          <w:rFonts w:ascii="Times New Roman" w:hAnsi="Times New Roman" w:cs="Times New Roman"/>
          <w:sz w:val="20"/>
          <w:szCs w:val="20"/>
          <w:lang w:val="sr-Cyrl-CS"/>
        </w:rPr>
      </w:pPr>
    </w:p>
    <w:p w:rsidR="00086E0E" w:rsidRPr="00796A40" w:rsidRDefault="00086E0E" w:rsidP="00086E0E">
      <w:pPr>
        <w:rPr>
          <w:rFonts w:ascii="Times New Roman" w:hAnsi="Times New Roman" w:cs="Times New Roman"/>
          <w:sz w:val="20"/>
          <w:szCs w:val="20"/>
          <w:lang w:val="sr-Cyrl-CS"/>
        </w:rPr>
      </w:pPr>
    </w:p>
    <w:p w:rsidR="00086E0E" w:rsidRPr="00AF51E9" w:rsidRDefault="00086E0E" w:rsidP="00086E0E">
      <w:pPr>
        <w:pStyle w:val="ListParagraph"/>
        <w:rPr>
          <w:rFonts w:ascii="Times New Roman" w:hAnsi="Times New Roman" w:cs="Times New Roman"/>
          <w:sz w:val="28"/>
          <w:szCs w:val="28"/>
          <w:lang w:val="sr-Cyrl-CS"/>
        </w:rPr>
      </w:pPr>
    </w:p>
    <w:p w:rsidR="00086E0E" w:rsidRPr="00AF51E9" w:rsidRDefault="00086E0E" w:rsidP="00086E0E">
      <w:pPr>
        <w:pStyle w:val="ListParagraph"/>
        <w:numPr>
          <w:ilvl w:val="0"/>
          <w:numId w:val="1"/>
        </w:numPr>
        <w:rPr>
          <w:rFonts w:ascii="Times New Roman" w:hAnsi="Times New Roman" w:cs="Times New Roman"/>
          <w:sz w:val="28"/>
          <w:szCs w:val="28"/>
          <w:u w:val="single"/>
          <w:lang w:val="sr-Cyrl-CS"/>
        </w:rPr>
      </w:pPr>
      <w:r w:rsidRPr="00AF51E9">
        <w:rPr>
          <w:rFonts w:ascii="Times New Roman" w:hAnsi="Times New Roman" w:cs="Times New Roman"/>
          <w:sz w:val="28"/>
          <w:szCs w:val="28"/>
          <w:u w:val="single"/>
          <w:lang w:val="sr-Cyrl-CS"/>
        </w:rPr>
        <w:t>Проузроковање штете као извор облигација</w:t>
      </w:r>
    </w:p>
    <w:p w:rsidR="00086E0E" w:rsidRPr="00AF51E9" w:rsidRDefault="00086E0E" w:rsidP="00086E0E">
      <w:pPr>
        <w:pStyle w:val="ListParagraph"/>
        <w:numPr>
          <w:ilvl w:val="0"/>
          <w:numId w:val="2"/>
        </w:numPr>
        <w:rPr>
          <w:rFonts w:ascii="Times New Roman" w:hAnsi="Times New Roman" w:cs="Times New Roman"/>
          <w:sz w:val="28"/>
          <w:szCs w:val="28"/>
          <w:lang w:val="sr-Cyrl-CS"/>
        </w:rPr>
      </w:pPr>
      <w:r w:rsidRPr="00AF51E9">
        <w:rPr>
          <w:rFonts w:ascii="Times New Roman" w:hAnsi="Times New Roman" w:cs="Times New Roman"/>
          <w:sz w:val="28"/>
          <w:szCs w:val="28"/>
          <w:lang w:val="sr-Cyrl-CS"/>
        </w:rPr>
        <w:t>Појам и облици штете (стр. 103)</w:t>
      </w:r>
    </w:p>
    <w:p w:rsidR="00086E0E" w:rsidRPr="00AF51E9" w:rsidRDefault="00086E0E" w:rsidP="00086E0E">
      <w:pPr>
        <w:pStyle w:val="ListParagraph"/>
        <w:numPr>
          <w:ilvl w:val="0"/>
          <w:numId w:val="2"/>
        </w:numPr>
        <w:rPr>
          <w:rFonts w:ascii="Times New Roman" w:hAnsi="Times New Roman" w:cs="Times New Roman"/>
          <w:sz w:val="28"/>
          <w:szCs w:val="28"/>
          <w:lang w:val="sr-Cyrl-CS"/>
        </w:rPr>
      </w:pPr>
      <w:r w:rsidRPr="00AF51E9">
        <w:rPr>
          <w:rFonts w:ascii="Times New Roman" w:hAnsi="Times New Roman" w:cs="Times New Roman"/>
          <w:sz w:val="28"/>
          <w:szCs w:val="28"/>
          <w:lang w:val="sr-Cyrl-CS"/>
        </w:rPr>
        <w:t>Врсте штете (стр. 104)</w:t>
      </w:r>
    </w:p>
    <w:p w:rsidR="00086E0E" w:rsidRDefault="00086E0E" w:rsidP="00086E0E">
      <w:pPr>
        <w:rPr>
          <w:rFonts w:ascii="Times New Roman" w:hAnsi="Times New Roman" w:cs="Times New Roman"/>
          <w:sz w:val="20"/>
          <w:szCs w:val="20"/>
          <w:lang w:val="sr-Cyrl-CS"/>
        </w:rPr>
      </w:pPr>
    </w:p>
    <w:p w:rsidR="00086E0E" w:rsidRPr="00086E0E" w:rsidRDefault="00086E0E" w:rsidP="00086E0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Проузроковање штете као извор облигација</w:t>
      </w:r>
    </w:p>
    <w:p w:rsidR="00086E0E" w:rsidRPr="00AB35DF" w:rsidRDefault="00086E0E" w:rsidP="00086E0E">
      <w:pPr>
        <w:ind w:firstLine="720"/>
        <w:jc w:val="both"/>
        <w:rPr>
          <w:rFonts w:ascii="Times New Roman" w:hAnsi="Times New Roman" w:cs="Times New Roman"/>
          <w:sz w:val="24"/>
          <w:szCs w:val="24"/>
        </w:rPr>
      </w:pPr>
      <w:r w:rsidRPr="00AB35DF">
        <w:rPr>
          <w:rFonts w:ascii="Times New Roman" w:hAnsi="Times New Roman" w:cs="Times New Roman"/>
          <w:sz w:val="24"/>
          <w:szCs w:val="24"/>
          <w:lang w:val="sr-Cyrl-CS"/>
        </w:rPr>
        <w:t>Једно од основних начела облигационог права је и начело забране проузроковања штете као и дужност испуњења обавеза страна у облигационом односу. Повреда ових начела за последицу има настанак штете али истовремено и постављање питања одговорности за проузроковану штету.</w:t>
      </w:r>
    </w:p>
    <w:p w:rsidR="00086E0E" w:rsidRPr="00AB35DF"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Обзиром</w:t>
      </w:r>
      <w:r w:rsidRPr="00AB35DF">
        <w:rPr>
          <w:rFonts w:ascii="Times New Roman" w:hAnsi="Times New Roman" w:cs="Times New Roman"/>
          <w:sz w:val="24"/>
          <w:szCs w:val="24"/>
          <w:lang w:val="sr-Cyrl-CS"/>
        </w:rPr>
        <w:t xml:space="preserve"> на то да ли штета настаје као резултат неиспуњења или задоцњења у испуњењу већ постојећих уговорних обавеза или се штетном радњом ствара нов, до тада непостојећи облигационо правни однос између штетника и оштећеног у праву се чини разлика између уговорне и вануговорне штете.</w:t>
      </w:r>
    </w:p>
    <w:p w:rsidR="00086E0E" w:rsidRPr="00AB35DF" w:rsidRDefault="00086E0E" w:rsidP="00086E0E">
      <w:pPr>
        <w:ind w:firstLine="720"/>
        <w:jc w:val="both"/>
        <w:rPr>
          <w:rFonts w:ascii="Times New Roman" w:hAnsi="Times New Roman" w:cs="Times New Roman"/>
          <w:sz w:val="24"/>
          <w:szCs w:val="24"/>
        </w:rPr>
      </w:pPr>
      <w:r w:rsidRPr="00AB35DF">
        <w:rPr>
          <w:rFonts w:ascii="Times New Roman" w:hAnsi="Times New Roman" w:cs="Times New Roman"/>
          <w:sz w:val="24"/>
          <w:szCs w:val="24"/>
          <w:lang w:val="sr-Cyrl-CS"/>
        </w:rPr>
        <w:t>У фокусу нашег интересовања у овом делу биће искључиво вануговорна штета и то из више разлога: прво, већ смо рекли да овај облик штете суштински и јесте посебан извор облигација обзиром да из овог облика штете извире један нов, до тада непостојећи облигационоправни правни однос између лица које је штету учинило (штетника) и лица којем је штета учињена (оштећеног); друго, о појму уговорне штете и посебним правилима везаним за њу биће више речи код излагања о најзначајнијим уговорима робног промета; треће, на питања накнаде уговорне штете се у недостатку посебних правила примењују законске одредбе о накнади вануговорне штете.</w:t>
      </w:r>
    </w:p>
    <w:p w:rsidR="00086E0E" w:rsidRDefault="00086E0E" w:rsidP="00086E0E">
      <w:pPr>
        <w:ind w:firstLine="720"/>
        <w:jc w:val="both"/>
        <w:rPr>
          <w:rFonts w:ascii="Times New Roman" w:hAnsi="Times New Roman" w:cs="Times New Roman"/>
          <w:sz w:val="24"/>
          <w:szCs w:val="24"/>
          <w:lang w:val="sr-Cyrl-CS"/>
        </w:rPr>
      </w:pPr>
      <w:r w:rsidRPr="00AB35DF">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Основна </w:t>
      </w:r>
      <w:r w:rsidRPr="00AB35DF">
        <w:rPr>
          <w:rFonts w:ascii="Times New Roman" w:hAnsi="Times New Roman" w:cs="Times New Roman"/>
          <w:sz w:val="24"/>
          <w:szCs w:val="24"/>
          <w:lang w:val="sr-Cyrl-CS"/>
        </w:rPr>
        <w:t xml:space="preserve">претпоставка настанка обавезе накнаде штете је постојање узрочне везе између штете и радње штетника. Уз то штетник мора бити одговоран за насталу штету, а он то може бити по принципу кривице али и без обзира на кривицу.  Одговорност по основу кривице постоји ако је штета проузрокована намерно или непажњом. У неким случајевима кривица штетника се претпоставља, а у некима је опет оштећени мора доказати. Постоји међутим и могућност одговорности за штету и без обзира на кривицу. Према нашем ЗОО основни облик такве одговорности је одговорност имаоца опасне ствари односно лица које обавља опасну делатност. </w:t>
      </w:r>
    </w:p>
    <w:p w:rsid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Основне врсте штете су материјална (имовинска) и нематеријална (неимовинска, морална). Материјална штета је таква штета која настаје умањењем нечије имовине и</w:t>
      </w:r>
      <w:r>
        <w:rPr>
          <w:rFonts w:ascii="Times New Roman" w:hAnsi="Times New Roman" w:cs="Times New Roman"/>
          <w:sz w:val="24"/>
          <w:szCs w:val="24"/>
        </w:rPr>
        <w:t>/</w:t>
      </w:r>
      <w:r>
        <w:rPr>
          <w:rFonts w:ascii="Times New Roman" w:hAnsi="Times New Roman" w:cs="Times New Roman"/>
          <w:sz w:val="24"/>
          <w:szCs w:val="24"/>
          <w:lang w:val="sr-Cyrl-CS"/>
        </w:rPr>
        <w:t xml:space="preserve">или спречавањем њеног повећања. Ако је резултат штетног догађаја умањење нечије имовине </w:t>
      </w:r>
    </w:p>
    <w:p w:rsidR="00086E0E" w:rsidRDefault="00086E0E" w:rsidP="00086E0E">
      <w:pPr>
        <w:jc w:val="both"/>
        <w:rPr>
          <w:rFonts w:ascii="Times New Roman" w:hAnsi="Times New Roman" w:cs="Times New Roman"/>
          <w:sz w:val="24"/>
          <w:szCs w:val="24"/>
        </w:rPr>
      </w:pPr>
    </w:p>
    <w:p w:rsidR="00086E0E" w:rsidRDefault="00086E0E" w:rsidP="00086E0E">
      <w:pPr>
        <w:jc w:val="both"/>
        <w:rPr>
          <w:rFonts w:ascii="Times New Roman" w:hAnsi="Times New Roman" w:cs="Times New Roman"/>
          <w:sz w:val="24"/>
          <w:szCs w:val="24"/>
        </w:rPr>
      </w:pPr>
    </w:p>
    <w:p w:rsidR="00086E0E" w:rsidRDefault="00086E0E" w:rsidP="00086E0E">
      <w:pPr>
        <w:jc w:val="both"/>
        <w:rPr>
          <w:rFonts w:ascii="Times New Roman" w:hAnsi="Times New Roman" w:cs="Times New Roman"/>
          <w:sz w:val="24"/>
          <w:szCs w:val="24"/>
        </w:rPr>
      </w:pPr>
      <w:r>
        <w:rPr>
          <w:rFonts w:ascii="Times New Roman" w:hAnsi="Times New Roman" w:cs="Times New Roman"/>
          <w:sz w:val="24"/>
          <w:szCs w:val="24"/>
          <w:lang w:val="sr-Cyrl-CS"/>
        </w:rPr>
        <w:t>онда се такав вид материјалне штете назива обична штета. Рецимо, оштећењем нечијег аутомобила очигледно би дошло до умањења вредности имовине власника аутомобила. Међутим, последица претходно наведеног штетног догађаја може бити не само умањење вредности имовине власника аутомобила већ и спречавање њеног повећања. То ће бити случај уколико је оштећено такси возило па његов власник не само да трпи обичну штету већ за оно време које је неопходно за поправку аутомобила неће моћи да обавља своју делатност и стиче зараду. Овакав облик материјалне штете се назива изгубљена добит (корист). Изгубљена добит се дакле испољава у спречавању повећања нечије имовине до ког повећања би са извесношћу дошло у будућности да штетног догађаја није било. Очигледно је да обична штета и изгубљена добит не искључују једна другу, могу се дакле стећи у оквиру једног штетног догађаја као што могу постојати и самостално.</w:t>
      </w:r>
    </w:p>
    <w:p w:rsidR="00086E0E" w:rsidRDefault="00086E0E" w:rsidP="00086E0E">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Нематеријална штета је штета која настаје наношењем другоме физичког или психичког бола и страха. Ова врста штете по правилу настаје повредом личних добара као што су телесни интегритет, слобода, част и углед. Изузетно, нематеријална штета може настати оштећењем или уништењем ствари кривичним делом учињеним са умишљајем када ће суд одредити висину накнаде узимајући у обзир између осталог и вредност коју је ствар имала за оштећеника. Очигледно је да се нематеријална штета може испољити самостално али и заједно са материјалним штетом у оба њена вида. Рецимо: наношем увреде неком лицу вређа се његова част и углед и ту се најчешће ради само о нематеријалној штети. Међутим, наношењем тешке телесне повреде једна особа ће извесно претрпети физички (у доста случајева и психички) страх и бол, што су основне претпоставке нематеријалне штете, али ће морати да сноси и трошкове лечења и најчешће неће бити у могућности да извесно време обавља своје професионалне активности и стиче зараду, у чему се опет стичу обележја како обичне штете тако и изгубљене користи. </w:t>
      </w:r>
    </w:p>
    <w:p w:rsidR="00086E0E" w:rsidRDefault="00086E0E" w:rsidP="00086E0E">
      <w:pPr>
        <w:ind w:firstLine="720"/>
        <w:jc w:val="both"/>
        <w:rPr>
          <w:rFonts w:ascii="Times New Roman" w:hAnsi="Times New Roman" w:cs="Times New Roman"/>
          <w:sz w:val="24"/>
          <w:szCs w:val="24"/>
          <w:lang w:val="sr-Cyrl-CS"/>
        </w:rPr>
      </w:pPr>
    </w:p>
    <w:p w:rsidR="00086E0E" w:rsidRDefault="00086E0E" w:rsidP="00086E0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AF51E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103-106)</w:t>
      </w:r>
    </w:p>
    <w:p w:rsidR="00086E0E" w:rsidRDefault="00086E0E" w:rsidP="00086E0E">
      <w:pPr>
        <w:ind w:firstLine="720"/>
        <w:jc w:val="both"/>
        <w:rPr>
          <w:rFonts w:ascii="Times New Roman" w:hAnsi="Times New Roman" w:cs="Times New Roman"/>
          <w:sz w:val="24"/>
          <w:szCs w:val="24"/>
          <w:lang w:val="sr-Cyrl-CS"/>
        </w:rPr>
      </w:pPr>
    </w:p>
    <w:p w:rsidR="00086E0E" w:rsidRPr="00AB35DF" w:rsidRDefault="00086E0E" w:rsidP="00086E0E">
      <w:pPr>
        <w:ind w:firstLine="720"/>
        <w:jc w:val="both"/>
        <w:rPr>
          <w:rFonts w:ascii="Times New Roman" w:hAnsi="Times New Roman" w:cs="Times New Roman"/>
          <w:sz w:val="24"/>
          <w:szCs w:val="24"/>
        </w:rPr>
      </w:pPr>
    </w:p>
    <w:p w:rsidR="00086E0E" w:rsidRDefault="00086E0E" w:rsidP="00086E0E">
      <w:pPr>
        <w:rPr>
          <w:rFonts w:ascii="Times New Roman" w:hAnsi="Times New Roman" w:cs="Times New Roman"/>
          <w:sz w:val="20"/>
          <w:szCs w:val="20"/>
          <w:lang w:val="sr-Cyrl-CS"/>
        </w:rPr>
      </w:pPr>
    </w:p>
    <w:p w:rsidR="00086E0E" w:rsidRPr="00AB35DF" w:rsidRDefault="00086E0E" w:rsidP="00086E0E">
      <w:pPr>
        <w:rPr>
          <w:rFonts w:ascii="Times New Roman" w:hAnsi="Times New Roman" w:cs="Times New Roman"/>
          <w:sz w:val="20"/>
          <w:szCs w:val="20"/>
          <w:lang w:val="sr-Cyrl-CS"/>
        </w:rPr>
      </w:pPr>
    </w:p>
    <w:p w:rsidR="00086E0E" w:rsidRPr="00AB35DF" w:rsidRDefault="00086E0E" w:rsidP="00086E0E">
      <w:pPr>
        <w:rPr>
          <w:rFonts w:ascii="Times New Roman" w:hAnsi="Times New Roman" w:cs="Times New Roman"/>
          <w:sz w:val="20"/>
          <w:szCs w:val="20"/>
          <w:u w:val="single"/>
          <w:lang w:val="sr-Cyrl-CS"/>
        </w:rPr>
      </w:pPr>
    </w:p>
    <w:p w:rsidR="00086E0E" w:rsidRPr="00AB35DF" w:rsidRDefault="00086E0E" w:rsidP="00086E0E">
      <w:pPr>
        <w:rPr>
          <w:rFonts w:ascii="Times New Roman" w:hAnsi="Times New Roman" w:cs="Times New Roman"/>
          <w:sz w:val="20"/>
          <w:szCs w:val="20"/>
          <w:u w:val="single"/>
          <w:lang w:val="sr-Cyrl-CS"/>
        </w:rPr>
      </w:pPr>
    </w:p>
    <w:p w:rsidR="00086E0E" w:rsidRDefault="00086E0E" w:rsidP="00086E0E">
      <w:pPr>
        <w:rPr>
          <w:rFonts w:ascii="Times New Roman" w:hAnsi="Times New Roman" w:cs="Times New Roman"/>
          <w:sz w:val="20"/>
          <w:szCs w:val="20"/>
          <w:lang w:val="sr-Cyrl-CS"/>
        </w:rPr>
      </w:pPr>
    </w:p>
    <w:p w:rsidR="00086E0E" w:rsidRDefault="00086E0E" w:rsidP="00086E0E">
      <w:pPr>
        <w:rPr>
          <w:rFonts w:ascii="Times New Roman" w:hAnsi="Times New Roman" w:cs="Times New Roman"/>
          <w:sz w:val="20"/>
          <w:szCs w:val="20"/>
          <w:lang w:val="sr-Cyrl-CS"/>
        </w:rPr>
      </w:pPr>
      <w:r w:rsidRPr="00086E0E">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Одреди појам и предмет облигационог права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облигационо правни однос или облигација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Који је најважнији извор облигација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уговор и како се закључује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су то ништави, а шта рушљиви уговори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Које су последице поништења уговора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 који начин може престати пуноважан уговор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 који начин проузроковање штете другоме може постати извор облигације ?</w:t>
      </w:r>
    </w:p>
    <w:p w:rsidR="00086E0E" w:rsidRDefault="00086E0E" w:rsidP="00086E0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врсте штете ?</w:t>
      </w:r>
    </w:p>
    <w:p w:rsidR="00086E0E" w:rsidRPr="00653096" w:rsidRDefault="00086E0E" w:rsidP="00086E0E">
      <w:pPr>
        <w:ind w:left="360"/>
        <w:rPr>
          <w:rFonts w:ascii="Times New Roman" w:hAnsi="Times New Roman" w:cs="Times New Roman"/>
          <w:sz w:val="20"/>
          <w:szCs w:val="20"/>
          <w:lang w:val="sr-Cyrl-CS"/>
        </w:rPr>
      </w:pPr>
    </w:p>
    <w:p w:rsidR="00086E0E" w:rsidRDefault="00086E0E" w:rsidP="00086E0E">
      <w:pPr>
        <w:rPr>
          <w:rFonts w:ascii="Times New Roman" w:hAnsi="Times New Roman" w:cs="Times New Roman"/>
          <w:sz w:val="20"/>
          <w:szCs w:val="20"/>
          <w:lang w:val="sr-Cyrl-CS"/>
        </w:rPr>
      </w:pPr>
      <w:r w:rsidRPr="00086E0E">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Облигационо право је систем правних норми којима су уређени правни односи између субјеката права у правном промету, а поводом преласка вредности из имовине једног у имовину другог субјекта права. Предмет облигационог права су облигациони односи.</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Облигациони однос или облигација је правни однос између две одређене стране на основу којег је једна од страна (поверилац) овлашћена да од друге (дужник) захтева одређено давање, чињење или уздржавање од нечега што би иначе имала право да чини да није ступила у тај однос, а друга страна је дужна да то испуни.</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Најважнији извор облигација је уговор.</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Уговор је сагласност воља или сагласна изјава воља два или више лица којом се постиже неко правно дејство. Закључује се тако што једна страна (понудилац) другој (понуђени) упути предлог (понуду) за закључење уговора, а друга страна такав предлог у потпуности прихвати (прихват понуде).</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Ништави су они уговори који су противни принудним прописима, јавном поретку и добрим обичајима. То су рецимо уговори који имају недопуштен, немогућ, неодређен или неодредив предмет, који немају каузу или је кауза недопуштена, уговори који су закључени од стране пословно неспособног лица, који нису закључени у законом прописаној форми. Рушљиви уговори су пак они уговори који су закључену упркос постојања мана (недостатака) воље на страни једнеог или оба уговарача. То су уговори закључени у заблуди, под преваром и принудом.</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Основне последице поништења уговора су те што је свака страна другој дужна вратити оно што је на основу уговора добила док савесна уговорна страна има право и на накнаду штете од стране несавесног уговарача.</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Уговор може престати на начин на који престаје и било који други облигационоправни однос, без обзира на извор, дакле на основу компензације, испуњења, пренова, конфузије, отпуштања дуга. Уговор такође може престати и на основу раскида и то како споразумног раскида, једностраног раскида, раскида уговора због промењених околности, затим уговор може престати и услед немогућности испуњења или смрти уговарача.</w:t>
      </w:r>
    </w:p>
    <w:p w:rsidR="00086E0E" w:rsidRP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 xml:space="preserve">Када једно лице другом неком својом радњом проузрокује штету , а при томе постоји узрочно последична веза између радње и штете као и одговорност штетника, настаје облигационоправни однос у којем је лице одговорно за проузроковану штету дужник, а лице којем је штета </w:t>
      </w:r>
    </w:p>
    <w:p w:rsidR="00086E0E" w:rsidRPr="00086E0E" w:rsidRDefault="00086E0E" w:rsidP="00086E0E">
      <w:pPr>
        <w:pStyle w:val="ListParagraph"/>
        <w:rPr>
          <w:rFonts w:ascii="Times New Roman" w:hAnsi="Times New Roman" w:cs="Times New Roman"/>
          <w:sz w:val="20"/>
          <w:szCs w:val="20"/>
          <w:lang w:val="sr-Cyrl-CS"/>
        </w:rPr>
      </w:pPr>
    </w:p>
    <w:p w:rsidR="00086E0E" w:rsidRPr="00086E0E" w:rsidRDefault="00086E0E" w:rsidP="00086E0E">
      <w:pPr>
        <w:pStyle w:val="ListParagraph"/>
        <w:rPr>
          <w:rFonts w:ascii="Times New Roman" w:hAnsi="Times New Roman" w:cs="Times New Roman"/>
          <w:sz w:val="20"/>
          <w:szCs w:val="20"/>
          <w:lang w:val="sr-Cyrl-CS"/>
        </w:rPr>
      </w:pPr>
    </w:p>
    <w:p w:rsidR="00086E0E" w:rsidRPr="00086E0E" w:rsidRDefault="00086E0E" w:rsidP="00086E0E">
      <w:pPr>
        <w:pStyle w:val="ListParagraph"/>
        <w:rPr>
          <w:rFonts w:ascii="Times New Roman" w:hAnsi="Times New Roman" w:cs="Times New Roman"/>
          <w:sz w:val="20"/>
          <w:szCs w:val="20"/>
          <w:lang w:val="sr-Cyrl-CS"/>
        </w:rPr>
      </w:pPr>
    </w:p>
    <w:p w:rsidR="00086E0E" w:rsidRDefault="00086E0E" w:rsidP="00086E0E">
      <w:pPr>
        <w:pStyle w:val="ListParagraph"/>
        <w:rPr>
          <w:rFonts w:ascii="Times New Roman" w:hAnsi="Times New Roman" w:cs="Times New Roman"/>
          <w:sz w:val="20"/>
          <w:szCs w:val="20"/>
          <w:lang w:val="sr-Cyrl-CS"/>
        </w:rPr>
      </w:pPr>
      <w:r>
        <w:rPr>
          <w:rFonts w:ascii="Times New Roman" w:hAnsi="Times New Roman" w:cs="Times New Roman"/>
          <w:sz w:val="20"/>
          <w:szCs w:val="20"/>
          <w:lang w:val="sr-Cyrl-CS"/>
        </w:rPr>
        <w:t>проузрокована поверилац. На овај и друге сличне начине чин проузроковања штете се и може посматрати као извор облигација. Овде, разуме се, у виду имамо вануговорну штету.</w:t>
      </w:r>
    </w:p>
    <w:p w:rsidR="00086E0E" w:rsidRDefault="00086E0E" w:rsidP="00086E0E">
      <w:pPr>
        <w:pStyle w:val="ListParagraph"/>
        <w:numPr>
          <w:ilvl w:val="0"/>
          <w:numId w:val="4"/>
        </w:numPr>
        <w:rPr>
          <w:rFonts w:ascii="Times New Roman" w:hAnsi="Times New Roman" w:cs="Times New Roman"/>
          <w:sz w:val="20"/>
          <w:szCs w:val="20"/>
          <w:lang w:val="sr-Cyrl-CS"/>
        </w:rPr>
      </w:pPr>
      <w:r>
        <w:rPr>
          <w:rFonts w:ascii="Times New Roman" w:hAnsi="Times New Roman" w:cs="Times New Roman"/>
          <w:sz w:val="20"/>
          <w:szCs w:val="20"/>
          <w:lang w:val="sr-Cyrl-CS"/>
        </w:rPr>
        <w:t>Основне врсте штете су материјална и нематеријална штета.</w:t>
      </w:r>
    </w:p>
    <w:p w:rsidR="0068437A" w:rsidRDefault="0068437A"/>
    <w:sectPr w:rsidR="0068437A" w:rsidSect="006843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0034D"/>
    <w:multiLevelType w:val="hybridMultilevel"/>
    <w:tmpl w:val="E9A61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2137FD"/>
    <w:multiLevelType w:val="hybridMultilevel"/>
    <w:tmpl w:val="B316C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86E0E"/>
    <w:rsid w:val="00086E0E"/>
    <w:rsid w:val="006843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E0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2564</Words>
  <Characters>14621</Characters>
  <Application>Microsoft Office Word</Application>
  <DocSecurity>0</DocSecurity>
  <Lines>121</Lines>
  <Paragraphs>34</Paragraphs>
  <ScaleCrop>false</ScaleCrop>
  <Company/>
  <LinksUpToDate>false</LinksUpToDate>
  <CharactersWithSpaces>17151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Nenada</cp:lastModifiedBy>
  <cp:revision>1</cp:revision>
  <dcterms:created xsi:type="dcterms:W3CDTF">2018-12-12T12:10:00Z</dcterms:created>
  <dcterms:modified xsi:type="dcterms:W3CDTF">2018-12-12T12:14:00Z</dcterms:modified>
</cp:coreProperties>
</file>