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3E" w:rsidRDefault="003A743E" w:rsidP="003A743E">
      <w:pPr>
        <w:jc w:val="center"/>
        <w:rPr>
          <w:rFonts w:ascii="Times New Roman" w:hAnsi="Times New Roman" w:cs="Times New Roman"/>
          <w:sz w:val="28"/>
          <w:szCs w:val="28"/>
        </w:rPr>
      </w:pPr>
    </w:p>
    <w:p w:rsidR="003A743E" w:rsidRDefault="003A743E" w:rsidP="003A743E">
      <w:pPr>
        <w:jc w:val="center"/>
        <w:rPr>
          <w:rFonts w:ascii="Times New Roman" w:hAnsi="Times New Roman" w:cs="Times New Roman"/>
          <w:sz w:val="28"/>
          <w:szCs w:val="28"/>
        </w:rPr>
      </w:pPr>
    </w:p>
    <w:p w:rsidR="003A743E" w:rsidRDefault="003A743E" w:rsidP="003A743E">
      <w:pPr>
        <w:jc w:val="center"/>
        <w:rPr>
          <w:rFonts w:ascii="Times New Roman" w:hAnsi="Times New Roman" w:cs="Times New Roman"/>
          <w:sz w:val="28"/>
          <w:szCs w:val="28"/>
        </w:rPr>
      </w:pPr>
    </w:p>
    <w:p w:rsidR="003A743E" w:rsidRPr="00AF51E9" w:rsidRDefault="003A743E" w:rsidP="003A743E">
      <w:pPr>
        <w:jc w:val="center"/>
        <w:rPr>
          <w:rFonts w:ascii="Times New Roman" w:hAnsi="Times New Roman" w:cs="Times New Roman"/>
          <w:sz w:val="28"/>
          <w:szCs w:val="28"/>
        </w:rPr>
      </w:pPr>
      <w:r w:rsidRPr="00AF51E9">
        <w:rPr>
          <w:rFonts w:ascii="Times New Roman" w:hAnsi="Times New Roman" w:cs="Times New Roman"/>
          <w:sz w:val="28"/>
          <w:szCs w:val="28"/>
        </w:rPr>
        <w:t xml:space="preserve">IV </w:t>
      </w:r>
      <w:r w:rsidRPr="00AF51E9">
        <w:rPr>
          <w:rFonts w:ascii="Times New Roman" w:hAnsi="Times New Roman" w:cs="Times New Roman"/>
          <w:sz w:val="28"/>
          <w:szCs w:val="28"/>
          <w:lang w:val="sr-Cyrl-CS"/>
        </w:rPr>
        <w:t>недеља</w:t>
      </w:r>
    </w:p>
    <w:p w:rsidR="003A743E" w:rsidRPr="00AF51E9" w:rsidRDefault="003A743E" w:rsidP="003A743E">
      <w:pPr>
        <w:pStyle w:val="ListParagraph"/>
        <w:numPr>
          <w:ilvl w:val="0"/>
          <w:numId w:val="1"/>
        </w:numPr>
        <w:rPr>
          <w:rFonts w:ascii="Times New Roman" w:hAnsi="Times New Roman" w:cs="Times New Roman"/>
          <w:sz w:val="28"/>
          <w:szCs w:val="28"/>
          <w:u w:val="single"/>
          <w:lang w:val="sr-Cyrl-CS"/>
        </w:rPr>
      </w:pPr>
      <w:r w:rsidRPr="00AF51E9">
        <w:rPr>
          <w:rFonts w:ascii="Times New Roman" w:hAnsi="Times New Roman" w:cs="Times New Roman"/>
          <w:sz w:val="28"/>
          <w:szCs w:val="28"/>
          <w:u w:val="single"/>
          <w:lang w:val="sr-Cyrl-CS"/>
        </w:rPr>
        <w:t>Престанак облигационих односа</w:t>
      </w:r>
    </w:p>
    <w:p w:rsidR="003A743E" w:rsidRPr="00AF51E9" w:rsidRDefault="003A743E" w:rsidP="003A743E">
      <w:pPr>
        <w:pStyle w:val="ListParagraph"/>
        <w:numPr>
          <w:ilvl w:val="0"/>
          <w:numId w:val="2"/>
        </w:numPr>
        <w:rPr>
          <w:rFonts w:ascii="Times New Roman" w:hAnsi="Times New Roman" w:cs="Times New Roman"/>
          <w:sz w:val="28"/>
          <w:szCs w:val="28"/>
          <w:lang w:val="sr-Cyrl-CS"/>
        </w:rPr>
      </w:pPr>
      <w:r w:rsidRPr="00AF51E9">
        <w:rPr>
          <w:rFonts w:ascii="Times New Roman" w:hAnsi="Times New Roman" w:cs="Times New Roman"/>
          <w:sz w:val="28"/>
          <w:szCs w:val="28"/>
          <w:lang w:val="sr-Cyrl-CS"/>
        </w:rPr>
        <w:t>Компензација, испуњење облигације, отпуштање дуга, пренов, сједињење, застарелост (стр. 109-112)</w:t>
      </w:r>
    </w:p>
    <w:p w:rsidR="003A743E" w:rsidRDefault="003A743E" w:rsidP="003A743E">
      <w:pPr>
        <w:rPr>
          <w:rFonts w:ascii="Times New Roman" w:hAnsi="Times New Roman" w:cs="Times New Roman"/>
          <w:sz w:val="20"/>
          <w:szCs w:val="20"/>
          <w:lang w:val="sr-Cyrl-CS"/>
        </w:rPr>
      </w:pPr>
    </w:p>
    <w:p w:rsidR="003A743E" w:rsidRPr="003A743E" w:rsidRDefault="003A743E" w:rsidP="003A743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Престанак облигационих односа</w:t>
      </w:r>
    </w:p>
    <w:p w:rsidR="003A743E" w:rsidRPr="00E30200" w:rsidRDefault="003A743E" w:rsidP="003A743E">
      <w:pPr>
        <w:ind w:firstLine="720"/>
        <w:jc w:val="both"/>
        <w:rPr>
          <w:rFonts w:ascii="Times New Roman" w:hAnsi="Times New Roman" w:cs="Times New Roman"/>
          <w:sz w:val="24"/>
          <w:szCs w:val="24"/>
          <w:lang w:val="sr-Cyrl-CS"/>
        </w:rPr>
      </w:pPr>
      <w:r w:rsidRPr="00E30200">
        <w:rPr>
          <w:rFonts w:ascii="Times New Roman" w:hAnsi="Times New Roman" w:cs="Times New Roman"/>
          <w:sz w:val="24"/>
          <w:szCs w:val="24"/>
          <w:lang w:val="sr-Cyrl-CS"/>
        </w:rPr>
        <w:t>Компензација је начин престанка облигационих обавеза који настаје тако што се две узајамне обавезе односно дуговања пребијају (компензују) до износа мањег од њих или у целини, ако су узајмане обавезе односн</w:t>
      </w:r>
      <w:r>
        <w:rPr>
          <w:rFonts w:ascii="Times New Roman" w:hAnsi="Times New Roman" w:cs="Times New Roman"/>
          <w:sz w:val="24"/>
          <w:szCs w:val="24"/>
          <w:lang w:val="sr-Cyrl-CS"/>
        </w:rPr>
        <w:t>о потраживања једнаке вредности.</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Испуњење облигације је редован начин њеног престанка. Састоји се у томе што дужник извршава оно што чини садржину његове обавезе, дакле у одређеном давању, чињењу, нечињењу или трпљењу. Обавезу према повериоцу је дужан да испуни дужник или његов заступник али је поверилац такође дужан да испуњење прими и од сваког лица које има неки правни интерес да обавеза буде испуњена. Ако је поверилац сагласан испуњење може примити и од лица које такав правни интерес нема.</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Облигација престаје у целини или у једном делу уколико поверилац дужнику опрости обавезу коју он према њему има, или део обавезе. Само у случају тзв. општег отпуштања дуга облигација престаје док делимично отпуштање дуга за последицу има само смањење обавезе дужника, не дакле и престанак облигације. Отпуштање дуга се реализује на основу посебног споразума повериоца у дужника који не мора бити закључен у форми правног посла из кога је обавеза настала.</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Обавеза може престати и ако се поверилац и дужник сагласе да постојећу обавезу замене новом и ако нова обавеза има различит предмет или различит правни основ. Пренов се никада не претпоставља, другим речима ако странке нису изразиле намеру да угасе постојећу обавезу када су стварале нову ранија обавеза не престаје већ и даље постоји поред нове.</w:t>
      </w:r>
      <w:r w:rsidRPr="00E30200">
        <w:rPr>
          <w:rFonts w:ascii="Times New Roman" w:hAnsi="Times New Roman" w:cs="Times New Roman"/>
          <w:sz w:val="24"/>
          <w:szCs w:val="24"/>
          <w:lang w:val="sr-Cyrl-CS"/>
        </w:rPr>
        <w:t xml:space="preserve"> </w:t>
      </w:r>
    </w:p>
    <w:p w:rsidR="003A743E" w:rsidRDefault="003A743E" w:rsidP="003A743E">
      <w:pPr>
        <w:ind w:firstLine="720"/>
        <w:jc w:val="both"/>
        <w:rPr>
          <w:rFonts w:ascii="Times New Roman" w:hAnsi="Times New Roman" w:cs="Times New Roman"/>
          <w:sz w:val="24"/>
          <w:szCs w:val="24"/>
        </w:rPr>
      </w:pPr>
      <w:r>
        <w:rPr>
          <w:rFonts w:ascii="Times New Roman" w:hAnsi="Times New Roman" w:cs="Times New Roman"/>
          <w:sz w:val="24"/>
          <w:szCs w:val="24"/>
          <w:lang w:val="sr-Cyrl-CS"/>
        </w:rPr>
        <w:t xml:space="preserve">Уколико једно исто лице постане и поверилац и дужник престаје и облигација односно престају обавезе које су пре сједињења постојале. У правним односима између физичких лица оваква правна ситуација настаје најчешће када поверилац наследи дужника </w:t>
      </w:r>
    </w:p>
    <w:p w:rsidR="003A743E" w:rsidRDefault="003A743E" w:rsidP="003A743E">
      <w:pPr>
        <w:jc w:val="both"/>
        <w:rPr>
          <w:rFonts w:ascii="Times New Roman" w:hAnsi="Times New Roman" w:cs="Times New Roman"/>
          <w:sz w:val="24"/>
          <w:szCs w:val="24"/>
        </w:rPr>
      </w:pPr>
    </w:p>
    <w:p w:rsidR="003A743E" w:rsidRDefault="003A743E" w:rsidP="003A743E">
      <w:pPr>
        <w:jc w:val="both"/>
        <w:rPr>
          <w:rFonts w:ascii="Times New Roman" w:hAnsi="Times New Roman" w:cs="Times New Roman"/>
          <w:sz w:val="24"/>
          <w:szCs w:val="24"/>
        </w:rPr>
      </w:pPr>
    </w:p>
    <w:p w:rsidR="003A743E" w:rsidRPr="003A743E" w:rsidRDefault="003A743E" w:rsidP="003A743E">
      <w:pPr>
        <w:jc w:val="both"/>
        <w:rPr>
          <w:rFonts w:ascii="Times New Roman" w:hAnsi="Times New Roman" w:cs="Times New Roman"/>
          <w:sz w:val="24"/>
          <w:szCs w:val="24"/>
        </w:rPr>
      </w:pPr>
      <w:r>
        <w:rPr>
          <w:rFonts w:ascii="Times New Roman" w:hAnsi="Times New Roman" w:cs="Times New Roman"/>
          <w:sz w:val="24"/>
          <w:szCs w:val="24"/>
          <w:lang w:val="sr-Cyrl-CS"/>
        </w:rPr>
        <w:t>(или обратно) док у односима између правних лица сједињење настаје када се једно лице споји са другим.</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2E738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109-112)</w:t>
      </w:r>
    </w:p>
    <w:p w:rsidR="003A743E" w:rsidRDefault="003A743E" w:rsidP="003A743E">
      <w:pPr>
        <w:ind w:firstLine="720"/>
        <w:jc w:val="both"/>
        <w:rPr>
          <w:rFonts w:ascii="Times New Roman" w:hAnsi="Times New Roman" w:cs="Times New Roman"/>
          <w:sz w:val="24"/>
          <w:szCs w:val="24"/>
        </w:rPr>
      </w:pPr>
    </w:p>
    <w:p w:rsidR="003A743E" w:rsidRPr="002E7389" w:rsidRDefault="003A743E" w:rsidP="003A743E">
      <w:pPr>
        <w:pStyle w:val="ListParagraph"/>
        <w:rPr>
          <w:rFonts w:ascii="Times New Roman" w:hAnsi="Times New Roman" w:cs="Times New Roman"/>
          <w:sz w:val="28"/>
          <w:szCs w:val="28"/>
          <w:lang w:val="sr-Cyrl-CS"/>
        </w:rPr>
      </w:pPr>
    </w:p>
    <w:p w:rsidR="003A743E" w:rsidRPr="002E7389" w:rsidRDefault="003A743E" w:rsidP="003A743E">
      <w:pPr>
        <w:pStyle w:val="ListParagraph"/>
        <w:numPr>
          <w:ilvl w:val="0"/>
          <w:numId w:val="1"/>
        </w:numPr>
        <w:rPr>
          <w:rFonts w:ascii="Times New Roman" w:hAnsi="Times New Roman" w:cs="Times New Roman"/>
          <w:sz w:val="28"/>
          <w:szCs w:val="28"/>
          <w:u w:val="single"/>
          <w:lang w:val="sr-Cyrl-CS"/>
        </w:rPr>
      </w:pPr>
      <w:r w:rsidRPr="002E7389">
        <w:rPr>
          <w:rFonts w:ascii="Times New Roman" w:hAnsi="Times New Roman" w:cs="Times New Roman"/>
          <w:sz w:val="28"/>
          <w:szCs w:val="28"/>
          <w:u w:val="single"/>
          <w:lang w:val="sr-Cyrl-CS"/>
        </w:rPr>
        <w:t>Промена субјеката у облигационом односу</w:t>
      </w:r>
    </w:p>
    <w:p w:rsidR="003A743E" w:rsidRPr="002E7389" w:rsidRDefault="003A743E" w:rsidP="003A743E">
      <w:pPr>
        <w:pStyle w:val="ListParagraph"/>
        <w:numPr>
          <w:ilvl w:val="0"/>
          <w:numId w:val="2"/>
        </w:numPr>
        <w:rPr>
          <w:rFonts w:ascii="Times New Roman" w:hAnsi="Times New Roman" w:cs="Times New Roman"/>
          <w:sz w:val="28"/>
          <w:szCs w:val="28"/>
          <w:lang w:val="sr-Cyrl-CS"/>
        </w:rPr>
      </w:pPr>
      <w:r w:rsidRPr="002E7389">
        <w:rPr>
          <w:rFonts w:ascii="Times New Roman" w:hAnsi="Times New Roman" w:cs="Times New Roman"/>
          <w:sz w:val="28"/>
          <w:szCs w:val="28"/>
          <w:lang w:val="sr-Cyrl-CS"/>
        </w:rPr>
        <w:t>Уступање потраживања, преузимање дуга, приступање дугу, преузимање испуњења (стр. 113-116)</w:t>
      </w:r>
    </w:p>
    <w:p w:rsidR="003A743E" w:rsidRDefault="003A743E" w:rsidP="003A743E">
      <w:pPr>
        <w:rPr>
          <w:rFonts w:ascii="Times New Roman" w:hAnsi="Times New Roman" w:cs="Times New Roman"/>
          <w:sz w:val="20"/>
          <w:szCs w:val="20"/>
          <w:lang w:val="sr-Cyrl-CS"/>
        </w:rPr>
      </w:pPr>
    </w:p>
    <w:p w:rsidR="003A743E" w:rsidRPr="003A743E" w:rsidRDefault="003A743E" w:rsidP="003A743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Промена субјеката у облигационом односу</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Облигациони </w:t>
      </w:r>
      <w:r w:rsidRPr="00AD2B16">
        <w:rPr>
          <w:rFonts w:ascii="Times New Roman" w:hAnsi="Times New Roman" w:cs="Times New Roman"/>
          <w:sz w:val="24"/>
          <w:szCs w:val="24"/>
          <w:lang w:val="sr-Cyrl-CS"/>
        </w:rPr>
        <w:t xml:space="preserve">однос </w:t>
      </w:r>
      <w:r>
        <w:rPr>
          <w:rFonts w:ascii="Times New Roman" w:hAnsi="Times New Roman" w:cs="Times New Roman"/>
          <w:sz w:val="24"/>
          <w:szCs w:val="24"/>
          <w:lang w:val="sr-Cyrl-CS"/>
        </w:rPr>
        <w:t xml:space="preserve">је </w:t>
      </w:r>
      <w:r w:rsidRPr="00AD2B16">
        <w:rPr>
          <w:rFonts w:ascii="Times New Roman" w:hAnsi="Times New Roman" w:cs="Times New Roman"/>
          <w:sz w:val="24"/>
          <w:szCs w:val="24"/>
          <w:lang w:val="sr-Cyrl-CS"/>
        </w:rPr>
        <w:t>увек однос између две стране, повериоца и дужника. Ове две стране су у сваком облигационом односу одређене не само у том, општем и начелном смислу, дакле као поверилац и дужник, већ и као посебна физичка односно правна лица са својим именом односно називом (пословним именом). Ово међутим не значи да не постоји могућност да уместо конкретног повериоца и дужника у облигациони однос ступи неко треће лице, а да при томе садржина облигације остане идентична. Најважније правне технике којима се овакве промене могу реализовати су уступање потраживања (цесија), преузимање дуга, преузимање испуњења и приступање дугу.</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2E738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113-116)</w:t>
      </w:r>
    </w:p>
    <w:p w:rsidR="003A743E" w:rsidRPr="00AD2B16" w:rsidRDefault="003A743E" w:rsidP="003A743E">
      <w:pPr>
        <w:ind w:firstLine="720"/>
        <w:jc w:val="both"/>
        <w:rPr>
          <w:rFonts w:ascii="Times New Roman" w:hAnsi="Times New Roman" w:cs="Times New Roman"/>
          <w:sz w:val="24"/>
          <w:szCs w:val="24"/>
        </w:rPr>
      </w:pPr>
    </w:p>
    <w:p w:rsidR="003A743E" w:rsidRDefault="003A743E" w:rsidP="003A743E">
      <w:pPr>
        <w:rPr>
          <w:rFonts w:ascii="Times New Roman" w:hAnsi="Times New Roman" w:cs="Times New Roman"/>
          <w:sz w:val="20"/>
          <w:szCs w:val="20"/>
          <w:lang w:val="sr-Cyrl-CS"/>
        </w:rPr>
      </w:pPr>
    </w:p>
    <w:p w:rsidR="003A743E" w:rsidRDefault="003A743E" w:rsidP="003A743E">
      <w:pPr>
        <w:rPr>
          <w:rFonts w:ascii="Times New Roman" w:hAnsi="Times New Roman" w:cs="Times New Roman"/>
          <w:sz w:val="28"/>
          <w:szCs w:val="28"/>
        </w:rPr>
      </w:pPr>
    </w:p>
    <w:p w:rsidR="003A743E" w:rsidRDefault="003A743E" w:rsidP="003A743E">
      <w:pPr>
        <w:rPr>
          <w:rFonts w:ascii="Times New Roman" w:hAnsi="Times New Roman" w:cs="Times New Roman"/>
          <w:sz w:val="28"/>
          <w:szCs w:val="28"/>
        </w:rPr>
      </w:pPr>
    </w:p>
    <w:p w:rsidR="003A743E" w:rsidRDefault="003A743E" w:rsidP="003A743E">
      <w:pPr>
        <w:rPr>
          <w:rFonts w:ascii="Times New Roman" w:hAnsi="Times New Roman" w:cs="Times New Roman"/>
          <w:sz w:val="28"/>
          <w:szCs w:val="28"/>
        </w:rPr>
      </w:pPr>
    </w:p>
    <w:p w:rsidR="003A743E" w:rsidRDefault="003A743E" w:rsidP="003A743E">
      <w:pPr>
        <w:rPr>
          <w:rFonts w:ascii="Times New Roman" w:hAnsi="Times New Roman" w:cs="Times New Roman"/>
          <w:sz w:val="28"/>
          <w:szCs w:val="28"/>
        </w:rPr>
      </w:pPr>
    </w:p>
    <w:p w:rsidR="003A743E" w:rsidRDefault="003A743E" w:rsidP="003A743E">
      <w:pPr>
        <w:rPr>
          <w:rFonts w:ascii="Times New Roman" w:hAnsi="Times New Roman" w:cs="Times New Roman"/>
          <w:sz w:val="28"/>
          <w:szCs w:val="28"/>
        </w:rPr>
      </w:pPr>
    </w:p>
    <w:p w:rsidR="003A743E" w:rsidRPr="003A743E" w:rsidRDefault="003A743E" w:rsidP="003A743E">
      <w:pPr>
        <w:rPr>
          <w:rFonts w:ascii="Times New Roman" w:hAnsi="Times New Roman" w:cs="Times New Roman"/>
          <w:sz w:val="28"/>
          <w:szCs w:val="28"/>
        </w:rPr>
      </w:pPr>
    </w:p>
    <w:p w:rsidR="003A743E" w:rsidRPr="002E7389" w:rsidRDefault="003A743E" w:rsidP="003A743E">
      <w:pPr>
        <w:pStyle w:val="ListParagraph"/>
        <w:rPr>
          <w:rFonts w:ascii="Times New Roman" w:hAnsi="Times New Roman" w:cs="Times New Roman"/>
          <w:sz w:val="28"/>
          <w:szCs w:val="28"/>
          <w:lang w:val="sr-Cyrl-CS"/>
        </w:rPr>
      </w:pPr>
    </w:p>
    <w:p w:rsidR="003A743E" w:rsidRPr="002E7389" w:rsidRDefault="003A743E" w:rsidP="003A743E">
      <w:pPr>
        <w:pStyle w:val="ListParagraph"/>
        <w:numPr>
          <w:ilvl w:val="0"/>
          <w:numId w:val="1"/>
        </w:numPr>
        <w:rPr>
          <w:rFonts w:ascii="Times New Roman" w:hAnsi="Times New Roman" w:cs="Times New Roman"/>
          <w:sz w:val="28"/>
          <w:szCs w:val="28"/>
          <w:u w:val="single"/>
          <w:lang w:val="sr-Cyrl-CS"/>
        </w:rPr>
      </w:pPr>
      <w:r w:rsidRPr="002E7389">
        <w:rPr>
          <w:rFonts w:ascii="Times New Roman" w:hAnsi="Times New Roman" w:cs="Times New Roman"/>
          <w:sz w:val="28"/>
          <w:szCs w:val="28"/>
          <w:u w:val="single"/>
          <w:lang w:val="sr-Cyrl-CS"/>
        </w:rPr>
        <w:t>Обезбеђење испуњења облигационих обавеза</w:t>
      </w:r>
    </w:p>
    <w:p w:rsidR="003A743E" w:rsidRPr="002E7389" w:rsidRDefault="003A743E" w:rsidP="003A743E">
      <w:pPr>
        <w:pStyle w:val="ListParagraph"/>
        <w:numPr>
          <w:ilvl w:val="0"/>
          <w:numId w:val="2"/>
        </w:numPr>
        <w:rPr>
          <w:rFonts w:ascii="Times New Roman" w:hAnsi="Times New Roman" w:cs="Times New Roman"/>
          <w:sz w:val="28"/>
          <w:szCs w:val="28"/>
          <w:lang w:val="sr-Cyrl-CS"/>
        </w:rPr>
      </w:pPr>
      <w:r w:rsidRPr="002E7389">
        <w:rPr>
          <w:rFonts w:ascii="Times New Roman" w:hAnsi="Times New Roman" w:cs="Times New Roman"/>
          <w:sz w:val="28"/>
          <w:szCs w:val="28"/>
          <w:lang w:val="sr-Cyrl-CS"/>
        </w:rPr>
        <w:t>Капара, уговорна каазна, одустаница, јемство (стр. 116-119)</w:t>
      </w:r>
    </w:p>
    <w:p w:rsidR="003A743E" w:rsidRDefault="003A743E" w:rsidP="003A743E">
      <w:pPr>
        <w:rPr>
          <w:rFonts w:ascii="Times New Roman" w:hAnsi="Times New Roman" w:cs="Times New Roman"/>
          <w:sz w:val="20"/>
          <w:szCs w:val="20"/>
          <w:lang w:val="sr-Cyrl-CS"/>
        </w:rPr>
      </w:pPr>
    </w:p>
    <w:p w:rsidR="003A743E" w:rsidRPr="003A743E" w:rsidRDefault="003A743E" w:rsidP="003A743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Обезбеђење испуњења облигационих обавеза</w:t>
      </w:r>
    </w:p>
    <w:p w:rsidR="003A743E" w:rsidRDefault="003A743E" w:rsidP="003A743E">
      <w:pPr>
        <w:ind w:firstLine="720"/>
        <w:jc w:val="both"/>
        <w:rPr>
          <w:rFonts w:ascii="Times New Roman" w:hAnsi="Times New Roman" w:cs="Times New Roman"/>
          <w:sz w:val="24"/>
          <w:szCs w:val="24"/>
          <w:lang w:val="sr-Cyrl-CS"/>
        </w:rPr>
      </w:pPr>
      <w:r w:rsidRPr="003D4651">
        <w:rPr>
          <w:rFonts w:ascii="Times New Roman" w:hAnsi="Times New Roman" w:cs="Times New Roman"/>
          <w:b/>
          <w:sz w:val="24"/>
          <w:szCs w:val="24"/>
          <w:lang w:val="sr-Cyrl-CS"/>
        </w:rPr>
        <w:t>Капара</w:t>
      </w:r>
      <w:r>
        <w:rPr>
          <w:rFonts w:ascii="Times New Roman" w:hAnsi="Times New Roman" w:cs="Times New Roman"/>
          <w:sz w:val="24"/>
          <w:szCs w:val="24"/>
          <w:lang w:val="sr-Cyrl-CS"/>
        </w:rPr>
        <w:t xml:space="preserve"> представља одређену количину (износ) новца или других замењивих ствари које на основу постигнутог споразума дужник предаје повериоцу као знак да је између њих закључен уговор и као обезбеђење да ће испунити преузете обавезе из тако закљученог уговора. Као што се види функција капаре је двострука. Она представља знак односно доказ да је између две стране закључен одређени уговор али и средство обезбеђења испуњења уговорних обавеза. Ипак ова друга функција капаре је функција по којој је овај правни институ препознатљив у правном промету.</w:t>
      </w:r>
    </w:p>
    <w:p w:rsidR="003A743E" w:rsidRDefault="003A743E" w:rsidP="003A743E">
      <w:pPr>
        <w:ind w:firstLine="720"/>
        <w:jc w:val="both"/>
        <w:rPr>
          <w:rFonts w:ascii="Times New Roman" w:hAnsi="Times New Roman" w:cs="Times New Roman"/>
          <w:sz w:val="24"/>
          <w:szCs w:val="24"/>
          <w:lang w:val="sr-Cyrl-CS"/>
        </w:rPr>
      </w:pPr>
      <w:r w:rsidRPr="003D4651">
        <w:rPr>
          <w:rFonts w:ascii="Times New Roman" w:hAnsi="Times New Roman" w:cs="Times New Roman"/>
          <w:b/>
          <w:sz w:val="24"/>
          <w:szCs w:val="24"/>
          <w:lang w:val="sr-Cyrl-CS"/>
        </w:rPr>
        <w:t>Уговорна казна</w:t>
      </w:r>
      <w:r>
        <w:rPr>
          <w:rFonts w:ascii="Times New Roman" w:hAnsi="Times New Roman" w:cs="Times New Roman"/>
          <w:sz w:val="24"/>
          <w:szCs w:val="24"/>
          <w:lang w:val="sr-Cyrl-CS"/>
        </w:rPr>
        <w:t xml:space="preserve"> представља одређени новчани износ или неку другу материјалну корист (вредност) коју је дужник на основу посебног споразума дужан предати повериоцу уколико не испуни своју обавезу или задоцни са њеним испуњењем. Уколико ништа друго не произилази из уговора сматра се да је уговорна казна уговорена за случај задоцњења.</w:t>
      </w:r>
    </w:p>
    <w:p w:rsidR="003A743E" w:rsidRDefault="003A743E" w:rsidP="003A743E">
      <w:pPr>
        <w:ind w:firstLine="720"/>
        <w:jc w:val="both"/>
        <w:rPr>
          <w:rFonts w:ascii="Times New Roman" w:hAnsi="Times New Roman" w:cs="Times New Roman"/>
          <w:sz w:val="24"/>
          <w:szCs w:val="24"/>
          <w:lang w:val="sr-Cyrl-CS"/>
        </w:rPr>
      </w:pPr>
      <w:r w:rsidRPr="003D4651">
        <w:rPr>
          <w:rFonts w:ascii="Times New Roman" w:hAnsi="Times New Roman" w:cs="Times New Roman"/>
          <w:b/>
          <w:sz w:val="24"/>
          <w:szCs w:val="24"/>
          <w:lang w:val="sr-Cyrl-CS"/>
        </w:rPr>
        <w:t>Одустаница</w:t>
      </w:r>
      <w:r>
        <w:rPr>
          <w:rFonts w:ascii="Times New Roman" w:hAnsi="Times New Roman" w:cs="Times New Roman"/>
          <w:sz w:val="24"/>
          <w:szCs w:val="24"/>
          <w:lang w:val="sr-Cyrl-CS"/>
        </w:rPr>
        <w:t xml:space="preserve"> представља споразум на основу кога се једна или обе уговорне стране овлашћују да одустану од уговора тако што ће другој страни предати одређени новчани износ или другу имовинску вредност. Могло би се дакле рећи да одустаница не неки начин представља цену коју овлашћена страна у уговору треба да плати да би уговор раскинула. </w:t>
      </w:r>
    </w:p>
    <w:p w:rsidR="003A743E" w:rsidRPr="003A743E" w:rsidRDefault="003A743E" w:rsidP="003A743E">
      <w:pPr>
        <w:ind w:firstLine="720"/>
        <w:jc w:val="both"/>
        <w:rPr>
          <w:rFonts w:ascii="Times New Roman" w:hAnsi="Times New Roman" w:cs="Times New Roman"/>
          <w:sz w:val="24"/>
          <w:szCs w:val="24"/>
        </w:rPr>
      </w:pPr>
      <w:r w:rsidRPr="003D4651">
        <w:rPr>
          <w:rFonts w:ascii="Times New Roman" w:hAnsi="Times New Roman" w:cs="Times New Roman"/>
          <w:b/>
          <w:sz w:val="24"/>
          <w:szCs w:val="24"/>
          <w:lang w:val="sr-Cyrl-CS"/>
        </w:rPr>
        <w:t>Јемство</w:t>
      </w:r>
      <w:r>
        <w:rPr>
          <w:rFonts w:ascii="Times New Roman" w:hAnsi="Times New Roman" w:cs="Times New Roman"/>
          <w:sz w:val="24"/>
          <w:szCs w:val="24"/>
          <w:lang w:val="sr-Cyrl-CS"/>
        </w:rPr>
        <w:t xml:space="preserve"> представља лично средство обезбеђења на основу кога се треће лице (јемац) обавезује да повериоцу испуни пуноважну и доспелу обавезу дужника, ако овај то не учини. Јемством се може обезбедити углавном свака пуноважна облигација. Изузетак су разуме се оне обавезе које се непосредно везују за личност дужника, његове посебне професионалне вештине и знања. У пословном промету јемство се по правилу успоставља на основу уговора, мада постоји и јемство које настаје на основу самог закона (законско јемство).</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2E738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116-119)</w:t>
      </w:r>
    </w:p>
    <w:p w:rsidR="003A743E" w:rsidRDefault="003A743E" w:rsidP="003A743E">
      <w:pPr>
        <w:jc w:val="both"/>
        <w:rPr>
          <w:rFonts w:ascii="Times New Roman" w:hAnsi="Times New Roman" w:cs="Times New Roman"/>
          <w:sz w:val="24"/>
          <w:szCs w:val="24"/>
          <w:lang w:val="sr-Cyrl-CS"/>
        </w:rPr>
      </w:pPr>
    </w:p>
    <w:p w:rsidR="003A743E" w:rsidRDefault="003A743E" w:rsidP="003A743E">
      <w:pPr>
        <w:rPr>
          <w:rFonts w:ascii="Times New Roman" w:hAnsi="Times New Roman" w:cs="Times New Roman"/>
          <w:sz w:val="20"/>
          <w:szCs w:val="20"/>
        </w:rPr>
      </w:pPr>
    </w:p>
    <w:p w:rsidR="003A743E" w:rsidRPr="003A743E" w:rsidRDefault="003A743E" w:rsidP="003A743E">
      <w:pPr>
        <w:rPr>
          <w:rFonts w:ascii="Times New Roman" w:hAnsi="Times New Roman" w:cs="Times New Roman"/>
          <w:sz w:val="20"/>
          <w:szCs w:val="20"/>
        </w:rPr>
      </w:pPr>
    </w:p>
    <w:p w:rsidR="003A743E" w:rsidRPr="002E7389" w:rsidRDefault="003A743E" w:rsidP="003A743E">
      <w:pPr>
        <w:pStyle w:val="ListParagraph"/>
        <w:rPr>
          <w:rFonts w:ascii="Times New Roman" w:hAnsi="Times New Roman" w:cs="Times New Roman"/>
          <w:sz w:val="28"/>
          <w:szCs w:val="28"/>
          <w:lang w:val="sr-Cyrl-CS"/>
        </w:rPr>
      </w:pPr>
    </w:p>
    <w:p w:rsidR="003A743E" w:rsidRPr="002E7389" w:rsidRDefault="003A743E" w:rsidP="003A743E">
      <w:pPr>
        <w:pStyle w:val="ListParagraph"/>
        <w:numPr>
          <w:ilvl w:val="0"/>
          <w:numId w:val="1"/>
        </w:numPr>
        <w:rPr>
          <w:rFonts w:ascii="Times New Roman" w:hAnsi="Times New Roman" w:cs="Times New Roman"/>
          <w:sz w:val="28"/>
          <w:szCs w:val="28"/>
          <w:u w:val="single"/>
          <w:lang w:val="sr-Cyrl-CS"/>
        </w:rPr>
      </w:pPr>
      <w:r w:rsidRPr="002E7389">
        <w:rPr>
          <w:rFonts w:ascii="Times New Roman" w:hAnsi="Times New Roman" w:cs="Times New Roman"/>
          <w:sz w:val="28"/>
          <w:szCs w:val="28"/>
          <w:u w:val="single"/>
          <w:lang w:val="sr-Cyrl-CS"/>
        </w:rPr>
        <w:t xml:space="preserve">Појам и предмет пословног права </w:t>
      </w:r>
      <w:r w:rsidRPr="002E7389">
        <w:rPr>
          <w:rFonts w:ascii="Times New Roman" w:hAnsi="Times New Roman" w:cs="Times New Roman"/>
          <w:sz w:val="28"/>
          <w:szCs w:val="28"/>
          <w:lang w:val="sr-Cyrl-CS"/>
        </w:rPr>
        <w:t>(стр. 121)</w:t>
      </w:r>
    </w:p>
    <w:p w:rsidR="003A743E" w:rsidRDefault="003A743E" w:rsidP="003A743E">
      <w:pPr>
        <w:rPr>
          <w:rFonts w:ascii="Times New Roman" w:hAnsi="Times New Roman" w:cs="Times New Roman"/>
          <w:sz w:val="20"/>
          <w:szCs w:val="20"/>
          <w:u w:val="single"/>
          <w:lang w:val="sr-Cyrl-CS"/>
        </w:rPr>
      </w:pPr>
    </w:p>
    <w:p w:rsidR="003A743E" w:rsidRPr="003A743E" w:rsidRDefault="003A743E" w:rsidP="003A743E">
      <w:pPr>
        <w:ind w:left="720"/>
        <w:rPr>
          <w:rFonts w:ascii="Times New Roman" w:hAnsi="Times New Roman" w:cs="Times New Roman"/>
          <w:b/>
          <w:sz w:val="24"/>
          <w:szCs w:val="24"/>
          <w:u w:val="single"/>
        </w:rPr>
      </w:pPr>
      <w:r w:rsidRPr="003D4651">
        <w:rPr>
          <w:rFonts w:ascii="Times New Roman" w:hAnsi="Times New Roman" w:cs="Times New Roman"/>
          <w:b/>
          <w:sz w:val="24"/>
          <w:szCs w:val="24"/>
          <w:u w:val="single"/>
          <w:lang w:val="sr-Cyrl-CS"/>
        </w:rPr>
        <w:t>Појам и предмет пословног права</w:t>
      </w:r>
    </w:p>
    <w:p w:rsidR="003A743E" w:rsidRDefault="003A743E" w:rsidP="003A743E">
      <w:pPr>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sr-Cyrl-CS"/>
        </w:rPr>
        <w:t>Израз „пословно право“ није превише присутан у нашој правној литератури. Разлози томе су вишеструки: прво, у нашој правној традицији су за означење ове правне области коришћени термини „трговинско право“, „трговачко право“ и „привредно право“; друго, израз „пословно право“ није својствен ни евроконитиненталном правном систему, којем наше право припада; треће, у англосаксонском правном систему обухват питања која се разматрају као питања пословног права (</w:t>
      </w:r>
      <w:r w:rsidRPr="007205C4">
        <w:rPr>
          <w:rFonts w:ascii="Times New Roman" w:eastAsia="Times New Roman" w:hAnsi="Times New Roman" w:cs="Times New Roman"/>
          <w:i/>
          <w:iCs/>
          <w:sz w:val="24"/>
          <w:szCs w:val="24"/>
        </w:rPr>
        <w:t>business law</w:t>
      </w:r>
      <w:r>
        <w:rPr>
          <w:rFonts w:ascii="Times New Roman" w:eastAsia="Times New Roman" w:hAnsi="Times New Roman" w:cs="Times New Roman"/>
          <w:iCs/>
          <w:sz w:val="24"/>
          <w:szCs w:val="24"/>
        </w:rPr>
        <w:t>)</w:t>
      </w:r>
      <w:r>
        <w:rPr>
          <w:rFonts w:ascii="Times New Roman" w:eastAsia="Times New Roman" w:hAnsi="Times New Roman" w:cs="Times New Roman"/>
          <w:iCs/>
          <w:sz w:val="24"/>
          <w:szCs w:val="24"/>
          <w:lang w:val="sr-Cyrl-CS"/>
        </w:rPr>
        <w:t xml:space="preserve"> је прилично шири од питања која се разматрају у оквирима „нашег“ трговинског (привредног) права, без обзира на специјализацију односно издвајање посебних правних дисциплина из таквог „правног контекста“. </w:t>
      </w:r>
    </w:p>
    <w:p w:rsidR="003A743E" w:rsidRDefault="003A743E" w:rsidP="003A743E">
      <w:pPr>
        <w:ind w:firstLine="720"/>
        <w:jc w:val="both"/>
        <w:rPr>
          <w:rFonts w:ascii="Times New Roman" w:hAnsi="Times New Roman" w:cs="Times New Roman"/>
          <w:sz w:val="24"/>
          <w:szCs w:val="24"/>
          <w:lang w:val="sr-Cyrl-CS"/>
        </w:rPr>
      </w:pPr>
      <w:r>
        <w:rPr>
          <w:rFonts w:ascii="Times New Roman" w:eastAsia="Times New Roman" w:hAnsi="Times New Roman" w:cs="Times New Roman"/>
          <w:iCs/>
          <w:sz w:val="24"/>
          <w:szCs w:val="24"/>
          <w:lang w:val="sr-Cyrl-CS"/>
        </w:rPr>
        <w:t>Према доминантним ставовима наших аутора привредно право као грана права обухвата две односно три групе правних норми: прво, норме којима се уређује правни положај (статус) привредних субјеката; правне норме којима се уређују правни послови (уговори) које привредни субјекти закључују у мешусобним односима; треће, неки аутори овде убрајају и норме тзв. реглементарног права које за предмет имају уређење правних односа привредних субјеката и државе.</w:t>
      </w:r>
      <w:r w:rsidRPr="00E43594">
        <w:rPr>
          <w:rFonts w:ascii="Times New Roman" w:hAnsi="Times New Roman" w:cs="Times New Roman"/>
          <w:sz w:val="24"/>
          <w:szCs w:val="24"/>
          <w:lang w:val="sr-Cyrl-CS"/>
        </w:rPr>
        <w:t xml:space="preserve"> </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2E738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121-122)</w:t>
      </w:r>
    </w:p>
    <w:p w:rsidR="003A743E" w:rsidRDefault="003A743E" w:rsidP="003A743E">
      <w:pPr>
        <w:ind w:firstLine="720"/>
        <w:jc w:val="both"/>
        <w:rPr>
          <w:rFonts w:ascii="Times New Roman" w:eastAsia="Times New Roman" w:hAnsi="Times New Roman" w:cs="Times New Roman"/>
          <w:iCs/>
          <w:sz w:val="24"/>
          <w:szCs w:val="24"/>
          <w:lang w:val="sr-Cyrl-CS"/>
        </w:rPr>
      </w:pPr>
    </w:p>
    <w:p w:rsidR="003A743E" w:rsidRDefault="003A743E" w:rsidP="003A743E">
      <w:pPr>
        <w:ind w:firstLine="720"/>
        <w:jc w:val="both"/>
        <w:rPr>
          <w:rFonts w:ascii="Times New Roman" w:eastAsia="Times New Roman" w:hAnsi="Times New Roman" w:cs="Times New Roman"/>
          <w:iCs/>
          <w:sz w:val="24"/>
          <w:szCs w:val="24"/>
          <w:lang w:val="sr-Cyrl-CS"/>
        </w:rPr>
      </w:pPr>
    </w:p>
    <w:p w:rsidR="003A743E" w:rsidRDefault="003A743E" w:rsidP="003A743E">
      <w:pPr>
        <w:ind w:firstLine="720"/>
        <w:jc w:val="both"/>
        <w:rPr>
          <w:rFonts w:ascii="Times New Roman" w:eastAsia="Times New Roman" w:hAnsi="Times New Roman" w:cs="Times New Roman"/>
          <w:iCs/>
          <w:sz w:val="24"/>
          <w:szCs w:val="24"/>
        </w:rPr>
      </w:pPr>
    </w:p>
    <w:p w:rsidR="003A743E" w:rsidRDefault="003A743E" w:rsidP="003A743E">
      <w:pPr>
        <w:ind w:firstLine="720"/>
        <w:jc w:val="both"/>
        <w:rPr>
          <w:rFonts w:ascii="Times New Roman" w:eastAsia="Times New Roman" w:hAnsi="Times New Roman" w:cs="Times New Roman"/>
          <w:iCs/>
          <w:sz w:val="24"/>
          <w:szCs w:val="24"/>
        </w:rPr>
      </w:pPr>
    </w:p>
    <w:p w:rsidR="003A743E" w:rsidRDefault="003A743E" w:rsidP="003A743E">
      <w:pPr>
        <w:ind w:firstLine="720"/>
        <w:jc w:val="both"/>
        <w:rPr>
          <w:rFonts w:ascii="Times New Roman" w:eastAsia="Times New Roman" w:hAnsi="Times New Roman" w:cs="Times New Roman"/>
          <w:iCs/>
          <w:sz w:val="24"/>
          <w:szCs w:val="24"/>
        </w:rPr>
      </w:pPr>
    </w:p>
    <w:p w:rsidR="003A743E" w:rsidRDefault="003A743E" w:rsidP="003A743E">
      <w:pPr>
        <w:ind w:firstLine="720"/>
        <w:jc w:val="both"/>
        <w:rPr>
          <w:rFonts w:ascii="Times New Roman" w:eastAsia="Times New Roman" w:hAnsi="Times New Roman" w:cs="Times New Roman"/>
          <w:iCs/>
          <w:sz w:val="24"/>
          <w:szCs w:val="24"/>
        </w:rPr>
      </w:pPr>
    </w:p>
    <w:p w:rsidR="003A743E" w:rsidRDefault="003A743E" w:rsidP="003A743E">
      <w:pPr>
        <w:ind w:firstLine="720"/>
        <w:jc w:val="both"/>
        <w:rPr>
          <w:rFonts w:ascii="Times New Roman" w:eastAsia="Times New Roman" w:hAnsi="Times New Roman" w:cs="Times New Roman"/>
          <w:iCs/>
          <w:sz w:val="24"/>
          <w:szCs w:val="24"/>
        </w:rPr>
      </w:pPr>
    </w:p>
    <w:p w:rsidR="003A743E" w:rsidRDefault="003A743E" w:rsidP="003A743E">
      <w:pPr>
        <w:ind w:firstLine="720"/>
        <w:jc w:val="both"/>
        <w:rPr>
          <w:rFonts w:ascii="Times New Roman" w:eastAsia="Times New Roman" w:hAnsi="Times New Roman" w:cs="Times New Roman"/>
          <w:iCs/>
          <w:sz w:val="24"/>
          <w:szCs w:val="24"/>
        </w:rPr>
      </w:pPr>
    </w:p>
    <w:p w:rsidR="003A743E" w:rsidRPr="003A743E" w:rsidRDefault="003A743E" w:rsidP="003A743E">
      <w:pPr>
        <w:ind w:firstLine="720"/>
        <w:jc w:val="both"/>
        <w:rPr>
          <w:rFonts w:ascii="Times New Roman" w:eastAsia="Times New Roman" w:hAnsi="Times New Roman" w:cs="Times New Roman"/>
          <w:iCs/>
          <w:sz w:val="24"/>
          <w:szCs w:val="24"/>
        </w:rPr>
      </w:pPr>
    </w:p>
    <w:p w:rsidR="003A743E" w:rsidRPr="002E7389" w:rsidRDefault="003A743E" w:rsidP="003A743E">
      <w:pPr>
        <w:pStyle w:val="ListParagraph"/>
        <w:rPr>
          <w:rFonts w:ascii="Times New Roman" w:hAnsi="Times New Roman" w:cs="Times New Roman"/>
          <w:sz w:val="28"/>
          <w:szCs w:val="28"/>
          <w:u w:val="single"/>
          <w:lang w:val="sr-Cyrl-CS"/>
        </w:rPr>
      </w:pPr>
    </w:p>
    <w:p w:rsidR="003A743E" w:rsidRPr="002E7389" w:rsidRDefault="003A743E" w:rsidP="003A743E">
      <w:pPr>
        <w:pStyle w:val="ListParagraph"/>
        <w:numPr>
          <w:ilvl w:val="0"/>
          <w:numId w:val="1"/>
        </w:numPr>
        <w:rPr>
          <w:rFonts w:ascii="Times New Roman" w:hAnsi="Times New Roman" w:cs="Times New Roman"/>
          <w:sz w:val="28"/>
          <w:szCs w:val="28"/>
          <w:u w:val="single"/>
          <w:lang w:val="sr-Cyrl-CS"/>
        </w:rPr>
      </w:pPr>
      <w:r w:rsidRPr="002E7389">
        <w:rPr>
          <w:rFonts w:ascii="Times New Roman" w:hAnsi="Times New Roman" w:cs="Times New Roman"/>
          <w:sz w:val="28"/>
          <w:szCs w:val="28"/>
          <w:u w:val="single"/>
          <w:lang w:val="sr-Cyrl-CS"/>
        </w:rPr>
        <w:t>Компанијско право</w:t>
      </w:r>
    </w:p>
    <w:p w:rsidR="003A743E" w:rsidRPr="002E7389" w:rsidRDefault="003A743E" w:rsidP="003A743E">
      <w:pPr>
        <w:pStyle w:val="ListParagraph"/>
        <w:numPr>
          <w:ilvl w:val="0"/>
          <w:numId w:val="2"/>
        </w:numPr>
        <w:rPr>
          <w:rFonts w:ascii="Times New Roman" w:hAnsi="Times New Roman" w:cs="Times New Roman"/>
          <w:sz w:val="28"/>
          <w:szCs w:val="28"/>
          <w:lang w:val="sr-Cyrl-CS"/>
        </w:rPr>
      </w:pPr>
      <w:r w:rsidRPr="002E7389">
        <w:rPr>
          <w:rFonts w:ascii="Times New Roman" w:hAnsi="Times New Roman" w:cs="Times New Roman"/>
          <w:sz w:val="28"/>
          <w:szCs w:val="28"/>
          <w:lang w:val="sr-Cyrl-CS"/>
        </w:rPr>
        <w:t>Појам и предмет компанијског права (стр. 122)</w:t>
      </w:r>
    </w:p>
    <w:p w:rsidR="003A743E" w:rsidRPr="002E7389" w:rsidRDefault="003A743E" w:rsidP="003A743E">
      <w:pPr>
        <w:pStyle w:val="ListParagraph"/>
        <w:numPr>
          <w:ilvl w:val="0"/>
          <w:numId w:val="2"/>
        </w:numPr>
        <w:rPr>
          <w:rFonts w:ascii="Times New Roman" w:hAnsi="Times New Roman" w:cs="Times New Roman"/>
          <w:sz w:val="28"/>
          <w:szCs w:val="28"/>
          <w:lang w:val="sr-Cyrl-CS"/>
        </w:rPr>
      </w:pPr>
      <w:r w:rsidRPr="002E7389">
        <w:rPr>
          <w:rFonts w:ascii="Times New Roman" w:hAnsi="Times New Roman" w:cs="Times New Roman"/>
          <w:sz w:val="28"/>
          <w:szCs w:val="28"/>
          <w:lang w:val="sr-Cyrl-CS"/>
        </w:rPr>
        <w:t>Привредни субјекти (стр. 123)</w:t>
      </w:r>
    </w:p>
    <w:p w:rsidR="003A743E" w:rsidRDefault="003A743E" w:rsidP="003A743E">
      <w:pPr>
        <w:pStyle w:val="ListParagraph"/>
        <w:numPr>
          <w:ilvl w:val="0"/>
          <w:numId w:val="2"/>
        </w:numPr>
        <w:rPr>
          <w:rFonts w:ascii="Times New Roman" w:hAnsi="Times New Roman" w:cs="Times New Roman"/>
          <w:sz w:val="28"/>
          <w:szCs w:val="28"/>
          <w:lang w:val="sr-Cyrl-CS"/>
        </w:rPr>
      </w:pPr>
      <w:r w:rsidRPr="002E7389">
        <w:rPr>
          <w:rFonts w:ascii="Times New Roman" w:hAnsi="Times New Roman" w:cs="Times New Roman"/>
          <w:sz w:val="28"/>
          <w:szCs w:val="28"/>
          <w:lang w:val="sr-Cyrl-CS"/>
        </w:rPr>
        <w:t>Извори компанијског права (стр. 123)</w:t>
      </w:r>
    </w:p>
    <w:p w:rsidR="003A743E" w:rsidRDefault="003A743E" w:rsidP="003A743E">
      <w:pPr>
        <w:rPr>
          <w:rFonts w:ascii="Times New Roman" w:hAnsi="Times New Roman" w:cs="Times New Roman"/>
          <w:sz w:val="28"/>
          <w:szCs w:val="28"/>
          <w:lang w:val="sr-Cyrl-CS"/>
        </w:rPr>
      </w:pPr>
    </w:p>
    <w:p w:rsidR="003A743E" w:rsidRDefault="003A743E" w:rsidP="003A743E">
      <w:pPr>
        <w:rPr>
          <w:rFonts w:ascii="Times New Roman" w:hAnsi="Times New Roman" w:cs="Times New Roman"/>
          <w:sz w:val="28"/>
          <w:szCs w:val="28"/>
          <w:lang w:val="sr-Cyrl-CS"/>
        </w:rPr>
      </w:pPr>
    </w:p>
    <w:p w:rsidR="003A743E" w:rsidRPr="003A743E" w:rsidRDefault="003A743E" w:rsidP="003A743E">
      <w:pPr>
        <w:ind w:left="720"/>
        <w:rPr>
          <w:rFonts w:ascii="Times New Roman" w:hAnsi="Times New Roman" w:cs="Times New Roman"/>
          <w:b/>
          <w:sz w:val="24"/>
          <w:szCs w:val="24"/>
        </w:rPr>
      </w:pPr>
      <w:r w:rsidRPr="002E7389">
        <w:rPr>
          <w:rFonts w:ascii="Times New Roman" w:hAnsi="Times New Roman" w:cs="Times New Roman"/>
          <w:b/>
          <w:sz w:val="24"/>
          <w:szCs w:val="24"/>
          <w:lang w:val="sr-Cyrl-CS"/>
        </w:rPr>
        <w:t>Појам и предмет, субјекти, извори</w:t>
      </w:r>
    </w:p>
    <w:p w:rsidR="003A743E" w:rsidRDefault="003A743E" w:rsidP="003A743E">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Као посебна грана права компанијско право садржи правне норме којима се уређује правни положај привредних друштава, а нарочито њихово оснивање, управљање, статусне промене, промене правне форме, престанак и друга питања од значаја за њихов положај, као и правни положај предузетника. У нешто уопштенијем одређењу може се рећи да се компанијско право пре свега бави изучавањем правних правила која уређују специфичности приватноправног удруживања правних и</w:t>
      </w:r>
      <w:r>
        <w:rPr>
          <w:rFonts w:ascii="Times New Roman" w:eastAsia="Times New Roman" w:hAnsi="Times New Roman" w:cs="Times New Roman"/>
          <w:iCs/>
          <w:sz w:val="24"/>
          <w:szCs w:val="24"/>
        </w:rPr>
        <w:t>/</w:t>
      </w:r>
      <w:r>
        <w:rPr>
          <w:rFonts w:ascii="Times New Roman" w:eastAsia="Times New Roman" w:hAnsi="Times New Roman" w:cs="Times New Roman"/>
          <w:iCs/>
          <w:sz w:val="24"/>
          <w:szCs w:val="24"/>
          <w:lang w:val="sr-Cyrl-CS"/>
        </w:rPr>
        <w:t>или физичких лица (или само једног од тих лица) и њиховог капитала ради остваривања заједничких (посредно и појединачних) интереса насталих на тој основи.</w:t>
      </w:r>
    </w:p>
    <w:p w:rsidR="003A743E" w:rsidRDefault="003A743E" w:rsidP="003A743E">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На највишем нивоу уопштавања не би погрешили уколико кажемо да су субјекти компанијског права она лица којима право признаје правни субјективитет, дакле да су то физичка и правна лица. Са друге стране међутим између субјеката права и субјеката компанијског права постоје квалитативне разлике. Отуда би се могло рећи да су сви субјекти компанијског права у исто време и субјекти права уопште, али не и обрнуто.</w:t>
      </w:r>
    </w:p>
    <w:p w:rsidR="003A743E" w:rsidRDefault="003A743E" w:rsidP="003A743E">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Да би неко лице могло имати статус привредног субјекта неопходно је кумулативно испуњење одређених претпоставки: прво, да је реч о физичком или правном лицу; друго, да то лице самостално и трајно обавља трговачку (трговинску) делатност; треће, да се то чини ради стицања добити; четврто, да је реч о производњи, промету робе или вршењу услуга на тржишту.</w:t>
      </w:r>
    </w:p>
    <w:p w:rsidR="003A743E" w:rsidRDefault="003A743E" w:rsidP="003A743E">
      <w:pPr>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sr-Cyrl-CS"/>
        </w:rPr>
        <w:t xml:space="preserve">Основни и најважнији извор компанијског права како код нас тако и у упоредном праву је закон. Уобичајено је да се општи услови оснивања и правног положаја привредних субјеката дефинишу законом  о привредним друштвима док се посебна правила која важе за привредна друштва која обављају одређене делатности (финансијске услуге, осигурање, берзе...) делом уређују посебним законима. Ако би у овом погледу били фокусирани на наше позитивно право могли би закључити да је тај општи пропис </w:t>
      </w:r>
    </w:p>
    <w:p w:rsidR="003A743E" w:rsidRDefault="003A743E" w:rsidP="003A743E">
      <w:pPr>
        <w:jc w:val="both"/>
        <w:rPr>
          <w:rFonts w:ascii="Times New Roman" w:eastAsia="Times New Roman" w:hAnsi="Times New Roman" w:cs="Times New Roman"/>
          <w:iCs/>
          <w:sz w:val="24"/>
          <w:szCs w:val="24"/>
        </w:rPr>
      </w:pPr>
    </w:p>
    <w:p w:rsidR="003A743E" w:rsidRDefault="003A743E" w:rsidP="003A743E">
      <w:pPr>
        <w:jc w:val="both"/>
        <w:rPr>
          <w:rFonts w:ascii="Times New Roman" w:eastAsia="Times New Roman" w:hAnsi="Times New Roman" w:cs="Times New Roman"/>
          <w:iCs/>
          <w:sz w:val="24"/>
          <w:szCs w:val="24"/>
        </w:rPr>
      </w:pPr>
    </w:p>
    <w:p w:rsidR="003A743E" w:rsidRPr="003A743E" w:rsidRDefault="003A743E" w:rsidP="003A743E">
      <w:pP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roofErr w:type="spellStart"/>
      <w:proofErr w:type="gramStart"/>
      <w:r w:rsidRPr="007374C3">
        <w:rPr>
          <w:rFonts w:ascii="Times New Roman" w:eastAsia="Times New Roman" w:hAnsi="Times New Roman" w:cs="Times New Roman"/>
          <w:i/>
          <w:iCs/>
          <w:sz w:val="24"/>
          <w:szCs w:val="24"/>
        </w:rPr>
        <w:t>lex</w:t>
      </w:r>
      <w:proofErr w:type="spellEnd"/>
      <w:proofErr w:type="gramEnd"/>
      <w:r w:rsidRPr="007374C3">
        <w:rPr>
          <w:rFonts w:ascii="Times New Roman" w:eastAsia="Times New Roman" w:hAnsi="Times New Roman" w:cs="Times New Roman"/>
          <w:i/>
          <w:iCs/>
          <w:sz w:val="24"/>
          <w:szCs w:val="24"/>
        </w:rPr>
        <w:t xml:space="preserve"> </w:t>
      </w:r>
      <w:proofErr w:type="spellStart"/>
      <w:r w:rsidRPr="007374C3">
        <w:rPr>
          <w:rFonts w:ascii="Times New Roman" w:eastAsia="Times New Roman" w:hAnsi="Times New Roman" w:cs="Times New Roman"/>
          <w:i/>
          <w:iCs/>
          <w:sz w:val="24"/>
          <w:szCs w:val="24"/>
        </w:rPr>
        <w:t>generalis</w:t>
      </w:r>
      <w:proofErr w:type="spellEnd"/>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sr-Cyrl-CS"/>
        </w:rPr>
        <w:t xml:space="preserve">Закон о привредним друштвима док су посебни прописи </w:t>
      </w:r>
      <w:r>
        <w:rPr>
          <w:rFonts w:ascii="Times New Roman" w:eastAsia="Times New Roman" w:hAnsi="Times New Roman" w:cs="Times New Roman"/>
          <w:iCs/>
          <w:sz w:val="24"/>
          <w:szCs w:val="24"/>
        </w:rPr>
        <w:t>(</w:t>
      </w:r>
      <w:proofErr w:type="spellStart"/>
      <w:r w:rsidRPr="007374C3">
        <w:rPr>
          <w:rFonts w:ascii="Times New Roman" w:eastAsia="Times New Roman" w:hAnsi="Times New Roman" w:cs="Times New Roman"/>
          <w:i/>
          <w:iCs/>
          <w:sz w:val="24"/>
          <w:szCs w:val="24"/>
        </w:rPr>
        <w:t>lex</w:t>
      </w:r>
      <w:proofErr w:type="spellEnd"/>
      <w:r w:rsidRPr="007374C3">
        <w:rPr>
          <w:rFonts w:ascii="Times New Roman" w:eastAsia="Times New Roman" w:hAnsi="Times New Roman" w:cs="Times New Roman"/>
          <w:i/>
          <w:iCs/>
          <w:sz w:val="24"/>
          <w:szCs w:val="24"/>
        </w:rPr>
        <w:t xml:space="preserve"> </w:t>
      </w:r>
      <w:proofErr w:type="spellStart"/>
      <w:r w:rsidRPr="007374C3">
        <w:rPr>
          <w:rFonts w:ascii="Times New Roman" w:eastAsia="Times New Roman" w:hAnsi="Times New Roman" w:cs="Times New Roman"/>
          <w:i/>
          <w:iCs/>
          <w:sz w:val="24"/>
          <w:szCs w:val="24"/>
        </w:rPr>
        <w:t>specialis</w:t>
      </w:r>
      <w:proofErr w:type="spellEnd"/>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sr-Cyrl-CS"/>
        </w:rPr>
        <w:t>рецимо Закон о банкама, Закон о осигурању, Закон о тржишту капитала...</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2E7389">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122-123)</w:t>
      </w:r>
    </w:p>
    <w:p w:rsidR="003A743E" w:rsidRPr="003A743E" w:rsidRDefault="003A743E" w:rsidP="003A743E">
      <w:pPr>
        <w:rPr>
          <w:rFonts w:ascii="Times New Roman" w:hAnsi="Times New Roman" w:cs="Times New Roman"/>
          <w:sz w:val="20"/>
          <w:szCs w:val="20"/>
        </w:rPr>
      </w:pPr>
    </w:p>
    <w:p w:rsidR="003A743E" w:rsidRPr="009E6A5A" w:rsidRDefault="003A743E" w:rsidP="003A743E">
      <w:pPr>
        <w:pStyle w:val="ListParagraph"/>
        <w:rPr>
          <w:rFonts w:ascii="Times New Roman" w:hAnsi="Times New Roman" w:cs="Times New Roman"/>
          <w:sz w:val="28"/>
          <w:szCs w:val="28"/>
          <w:lang w:val="sr-Cyrl-CS"/>
        </w:rPr>
      </w:pPr>
    </w:p>
    <w:p w:rsidR="003A743E" w:rsidRPr="009E6A5A" w:rsidRDefault="003A743E" w:rsidP="003A743E">
      <w:pPr>
        <w:pStyle w:val="ListParagraph"/>
        <w:numPr>
          <w:ilvl w:val="0"/>
          <w:numId w:val="1"/>
        </w:numPr>
        <w:rPr>
          <w:rFonts w:ascii="Times New Roman" w:hAnsi="Times New Roman" w:cs="Times New Roman"/>
          <w:sz w:val="28"/>
          <w:szCs w:val="28"/>
          <w:u w:val="single"/>
          <w:lang w:val="sr-Cyrl-CS"/>
        </w:rPr>
      </w:pPr>
      <w:r w:rsidRPr="009E6A5A">
        <w:rPr>
          <w:rFonts w:ascii="Times New Roman" w:hAnsi="Times New Roman" w:cs="Times New Roman"/>
          <w:sz w:val="28"/>
          <w:szCs w:val="28"/>
          <w:u w:val="single"/>
          <w:lang w:val="sr-Cyrl-CS"/>
        </w:rPr>
        <w:t>Предузетник</w:t>
      </w:r>
    </w:p>
    <w:p w:rsidR="003A743E"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Појам и карактеристике, имовина предузетника и одговорност за обавезе, пословно име и седиште предузетника, делатност и пословодство, губитак својства предузетника (стр. 124-128)</w:t>
      </w:r>
    </w:p>
    <w:p w:rsidR="003A743E" w:rsidRDefault="003A743E" w:rsidP="003A743E">
      <w:pPr>
        <w:rPr>
          <w:rFonts w:ascii="Times New Roman" w:hAnsi="Times New Roman" w:cs="Times New Roman"/>
          <w:sz w:val="28"/>
          <w:szCs w:val="28"/>
          <w:lang w:val="sr-Cyrl-CS"/>
        </w:rPr>
      </w:pPr>
    </w:p>
    <w:p w:rsidR="003A743E" w:rsidRPr="003A743E" w:rsidRDefault="003A743E" w:rsidP="003A743E">
      <w:pPr>
        <w:ind w:left="720"/>
        <w:rPr>
          <w:rFonts w:ascii="Times New Roman" w:hAnsi="Times New Roman" w:cs="Times New Roman"/>
          <w:b/>
          <w:sz w:val="24"/>
          <w:szCs w:val="24"/>
        </w:rPr>
      </w:pPr>
      <w:r w:rsidRPr="009E6A5A">
        <w:rPr>
          <w:rFonts w:ascii="Times New Roman" w:hAnsi="Times New Roman" w:cs="Times New Roman"/>
          <w:b/>
          <w:sz w:val="24"/>
          <w:szCs w:val="24"/>
          <w:lang w:val="sr-Cyrl-CS"/>
        </w:rPr>
        <w:t>Предузетник</w:t>
      </w:r>
    </w:p>
    <w:p w:rsidR="003A743E" w:rsidRPr="00F53086" w:rsidRDefault="003A743E" w:rsidP="003A743E">
      <w:pPr>
        <w:ind w:firstLine="720"/>
        <w:jc w:val="both"/>
        <w:rPr>
          <w:rFonts w:ascii="Times New Roman" w:hAnsi="Times New Roman" w:cs="Times New Roman"/>
          <w:sz w:val="24"/>
          <w:szCs w:val="24"/>
          <w:lang w:val="sr-Cyrl-CS"/>
        </w:rPr>
      </w:pPr>
      <w:r w:rsidRPr="00F53086">
        <w:rPr>
          <w:rFonts w:ascii="Times New Roman" w:hAnsi="Times New Roman" w:cs="Times New Roman"/>
          <w:sz w:val="24"/>
          <w:szCs w:val="24"/>
          <w:lang w:val="sr-Cyrl-CS"/>
        </w:rPr>
        <w:t>У нашем праву правни положај и статус предузетника су дефинисани Законом о привредним друштвима. Сходно том пропису предузетник је одређен као пословно способно физичко лице које обавља делатност у циљу остваривања прихода и које је као такво регистровано у складу са законом о регистрацији. Физичка лица која обављају делатност слободних професија уређену посебним прописима могу се сматрати предузетницима у смислу Закона о привредним друштвима ако је то тим посебним прописом одређено. Међутим индивидуални пољопривредник није предузетник  у смислу Закона о привредним друштвима, изузев ако посебним законом који уређује положај индивидуалних пољопривредника није другачије уређено.</w:t>
      </w:r>
    </w:p>
    <w:p w:rsidR="003A743E" w:rsidRPr="003A743E" w:rsidRDefault="003A743E" w:rsidP="003A743E">
      <w:pPr>
        <w:ind w:firstLine="720"/>
        <w:rPr>
          <w:rFonts w:ascii="Times New Roman" w:hAnsi="Times New Roman" w:cs="Times New Roman"/>
          <w:sz w:val="24"/>
          <w:szCs w:val="24"/>
        </w:rPr>
      </w:pPr>
      <w:r w:rsidRPr="00F53086">
        <w:rPr>
          <w:rFonts w:ascii="Times New Roman" w:hAnsi="Times New Roman" w:cs="Times New Roman"/>
          <w:sz w:val="24"/>
          <w:szCs w:val="24"/>
          <w:lang w:val="sr-Cyrl-CS"/>
        </w:rPr>
        <w:t>Предузетник се на овај начин идентификује са пословно способним физичким лицем, али не било којим. Није наиме свако физичко лице као такво предузетник. То је само оно физичко лице које је као предузетник уписано у регистар привредних субјеката који код нас води Агенција за привредне регистре. Мада овај упис нема конситутивно дејство из угла стицања посебног правног субјективитета он је услов за почетак обављања делатности у тој правној форми организовања предузећа, а коначно и израз намере неког физичког лица да у тој форми предузећа обавља делатност и остварује приход.</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9E6A5A">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122-128)</w:t>
      </w:r>
    </w:p>
    <w:p w:rsidR="003A743E" w:rsidRPr="00F53086" w:rsidRDefault="003A743E" w:rsidP="003A743E">
      <w:pPr>
        <w:ind w:firstLine="720"/>
        <w:rPr>
          <w:rFonts w:ascii="Times New Roman" w:hAnsi="Times New Roman" w:cs="Times New Roman"/>
          <w:sz w:val="20"/>
          <w:szCs w:val="20"/>
          <w:lang w:val="sr-Cyrl-CS"/>
        </w:rPr>
      </w:pPr>
    </w:p>
    <w:p w:rsidR="003A743E" w:rsidRPr="00983FA1" w:rsidRDefault="003A743E" w:rsidP="003A743E">
      <w:pPr>
        <w:rPr>
          <w:rFonts w:ascii="Times New Roman" w:hAnsi="Times New Roman" w:cs="Times New Roman"/>
          <w:sz w:val="20"/>
          <w:szCs w:val="20"/>
          <w:lang w:val="sr-Cyrl-CS"/>
        </w:rPr>
      </w:pPr>
    </w:p>
    <w:p w:rsidR="003A743E" w:rsidRDefault="003A743E" w:rsidP="003A743E">
      <w:pPr>
        <w:pStyle w:val="ListParagraph"/>
        <w:rPr>
          <w:rFonts w:ascii="Times New Roman" w:hAnsi="Times New Roman" w:cs="Times New Roman"/>
          <w:sz w:val="28"/>
          <w:szCs w:val="28"/>
        </w:rPr>
      </w:pPr>
    </w:p>
    <w:p w:rsidR="003A743E" w:rsidRPr="003A743E" w:rsidRDefault="003A743E" w:rsidP="003A743E">
      <w:pPr>
        <w:pStyle w:val="ListParagraph"/>
        <w:rPr>
          <w:rFonts w:ascii="Times New Roman" w:hAnsi="Times New Roman" w:cs="Times New Roman"/>
          <w:sz w:val="28"/>
          <w:szCs w:val="28"/>
        </w:rPr>
      </w:pPr>
    </w:p>
    <w:p w:rsidR="003A743E" w:rsidRPr="009E6A5A" w:rsidRDefault="003A743E" w:rsidP="003A743E">
      <w:pPr>
        <w:pStyle w:val="ListParagraph"/>
        <w:numPr>
          <w:ilvl w:val="0"/>
          <w:numId w:val="1"/>
        </w:numPr>
        <w:rPr>
          <w:rFonts w:ascii="Times New Roman" w:hAnsi="Times New Roman" w:cs="Times New Roman"/>
          <w:sz w:val="28"/>
          <w:szCs w:val="28"/>
          <w:u w:val="single"/>
          <w:lang w:val="sr-Cyrl-CS"/>
        </w:rPr>
      </w:pPr>
      <w:r w:rsidRPr="009E6A5A">
        <w:rPr>
          <w:rFonts w:ascii="Times New Roman" w:hAnsi="Times New Roman" w:cs="Times New Roman"/>
          <w:sz w:val="28"/>
          <w:szCs w:val="28"/>
          <w:u w:val="single"/>
          <w:lang w:val="sr-Cyrl-CS"/>
        </w:rPr>
        <w:t>Привредна друштва</w:t>
      </w:r>
    </w:p>
    <w:p w:rsidR="003A743E" w:rsidRPr="009E6A5A"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Појам, врсте и правне форме привредних друштава (стр. 129-130)</w:t>
      </w:r>
    </w:p>
    <w:p w:rsidR="003A743E" w:rsidRPr="009E6A5A"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Заједничка обележја привредних друштава (стр. 132-136)</w:t>
      </w:r>
    </w:p>
    <w:p w:rsidR="003A743E" w:rsidRPr="009E6A5A"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Заступање и заступници друштва (стр. 137-139)</w:t>
      </w:r>
    </w:p>
    <w:p w:rsidR="003A743E" w:rsidRPr="009E6A5A"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Елементи индивидауализације привредних друштава (стр. 139-144)</w:t>
      </w:r>
    </w:p>
    <w:p w:rsidR="003A743E" w:rsidRDefault="003A743E" w:rsidP="003A743E">
      <w:pPr>
        <w:pStyle w:val="ListParagraph"/>
        <w:numPr>
          <w:ilvl w:val="0"/>
          <w:numId w:val="2"/>
        </w:numPr>
        <w:rPr>
          <w:rFonts w:ascii="Times New Roman" w:hAnsi="Times New Roman" w:cs="Times New Roman"/>
          <w:sz w:val="28"/>
          <w:szCs w:val="28"/>
          <w:lang w:val="sr-Cyrl-CS"/>
        </w:rPr>
      </w:pPr>
      <w:r w:rsidRPr="009E6A5A">
        <w:rPr>
          <w:rFonts w:ascii="Times New Roman" w:hAnsi="Times New Roman" w:cs="Times New Roman"/>
          <w:sz w:val="28"/>
          <w:szCs w:val="28"/>
          <w:lang w:val="sr-Cyrl-CS"/>
        </w:rPr>
        <w:t>Огранак и представништво привредног друштва (стр. 144-145)</w:t>
      </w:r>
    </w:p>
    <w:p w:rsidR="003A743E" w:rsidRDefault="003A743E" w:rsidP="003A743E">
      <w:pPr>
        <w:rPr>
          <w:rFonts w:ascii="Times New Roman" w:hAnsi="Times New Roman" w:cs="Times New Roman"/>
          <w:sz w:val="28"/>
          <w:szCs w:val="28"/>
          <w:lang w:val="sr-Cyrl-CS"/>
        </w:rPr>
      </w:pPr>
    </w:p>
    <w:p w:rsidR="003A743E" w:rsidRPr="003A743E" w:rsidRDefault="003A743E" w:rsidP="003A743E">
      <w:pPr>
        <w:ind w:left="720"/>
        <w:rPr>
          <w:rFonts w:ascii="Times New Roman" w:hAnsi="Times New Roman" w:cs="Times New Roman"/>
          <w:b/>
          <w:sz w:val="24"/>
          <w:szCs w:val="24"/>
        </w:rPr>
      </w:pPr>
      <w:r w:rsidRPr="009E6A5A">
        <w:rPr>
          <w:rFonts w:ascii="Times New Roman" w:hAnsi="Times New Roman" w:cs="Times New Roman"/>
          <w:b/>
          <w:sz w:val="24"/>
          <w:szCs w:val="24"/>
          <w:lang w:val="sr-Cyrl-CS"/>
        </w:rPr>
        <w:t>Привредна друштва – основни појмови</w:t>
      </w:r>
    </w:p>
    <w:p w:rsidR="003A743E" w:rsidRDefault="003A743E" w:rsidP="003A743E">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Уз разумљиву условљеност потребама номотехнике, неопходну уопштеност и поједностављеност, привредно друштво је у нашем (позитивном) праву одређено као правно лице које обавља делатност у циљу стицања добити.</w:t>
      </w:r>
    </w:p>
    <w:p w:rsidR="003A743E" w:rsidRDefault="003A743E" w:rsidP="003A743E">
      <w:pPr>
        <w:ind w:firstLine="720"/>
        <w:jc w:val="both"/>
        <w:rPr>
          <w:rFonts w:ascii="Times New Roman" w:eastAsia="Times New Roman" w:hAnsi="Times New Roman" w:cs="Times New Roman"/>
          <w:iCs/>
          <w:sz w:val="24"/>
          <w:szCs w:val="24"/>
          <w:lang w:val="sr-Cyrl-CS"/>
        </w:rPr>
      </w:pPr>
      <w:r>
        <w:rPr>
          <w:rFonts w:ascii="Times New Roman" w:eastAsia="Times New Roman" w:hAnsi="Times New Roman" w:cs="Times New Roman"/>
          <w:iCs/>
          <w:sz w:val="24"/>
          <w:szCs w:val="24"/>
          <w:lang w:val="sr-Cyrl-CS"/>
        </w:rPr>
        <w:t>Оваква се дефиниција из угла правне теорије не може сматрати оптималном али, у исто време, и правна теорија има огромне проблеме поводом истог задатка. Разлози за тако нешто су бројни: прво, постоји више врста привредних друштава која се међусобно разликују па је готово немогуће до опште дефиниције привредног друштва доћи уважавањем посебних карактеристика сваког од њих; друго, у неким правним системима (англосаксонском, германском...) постоје привредна друштва која немају правни субјективитет; треће, поред битних одредница привредних друштава које се односе на то да она обављају делатност (привредну или ванпривредну) у циљу стицања добити њихова суштинска специфичност тиче се делом и статуса оснивача, улога који они у друштво односе, њиховог међусобног односа као и односа оснивача друштва са самим друштвом...</w:t>
      </w:r>
    </w:p>
    <w:p w:rsidR="003A743E" w:rsidRDefault="003A743E" w:rsidP="003A743E">
      <w:pPr>
        <w:ind w:firstLine="720"/>
        <w:jc w:val="both"/>
        <w:rPr>
          <w:rFonts w:ascii="Times New Roman" w:hAnsi="Times New Roman" w:cs="Times New Roman"/>
          <w:sz w:val="24"/>
          <w:szCs w:val="24"/>
          <w:lang w:val="sr-Cyrl-CS"/>
        </w:rPr>
      </w:pPr>
      <w:r>
        <w:rPr>
          <w:rFonts w:ascii="Times New Roman" w:eastAsia="Times New Roman" w:hAnsi="Times New Roman" w:cs="Times New Roman"/>
          <w:iCs/>
          <w:sz w:val="24"/>
          <w:szCs w:val="24"/>
          <w:lang w:val="sr-Cyrl-CS"/>
        </w:rPr>
        <w:t>Изнети као и неки други овде непоменути разлози говоре у прилог постојања тешкоћа и у дефинисању сваког привредног друштва понаособ односно у прилог томе да је у било каквој дефиницији ове врсте нужно апстраховање појединих елемената општег појма привредног друштва као и сваког од њих појединачно. Отуда правни теоретичари радије прибегавају анализи свих битних елемената привредног друштва пре него што се „усуђују“ да дају његово „синтетичко“ одређење.</w:t>
      </w:r>
      <w:r w:rsidRPr="00D67DE0">
        <w:rPr>
          <w:rFonts w:ascii="Times New Roman" w:hAnsi="Times New Roman" w:cs="Times New Roman"/>
          <w:sz w:val="24"/>
          <w:szCs w:val="24"/>
          <w:lang w:val="sr-Cyrl-CS"/>
        </w:rPr>
        <w:t xml:space="preserve"> </w:t>
      </w:r>
    </w:p>
    <w:p w:rsidR="003A743E" w:rsidRDefault="003A743E" w:rsidP="003A743E">
      <w:pPr>
        <w:ind w:firstLine="720"/>
        <w:jc w:val="both"/>
        <w:rPr>
          <w:rFonts w:ascii="Times New Roman" w:hAnsi="Times New Roman" w:cs="Times New Roman"/>
          <w:sz w:val="24"/>
          <w:szCs w:val="24"/>
          <w:lang w:val="sr-Cyrl-CS"/>
        </w:rPr>
      </w:pPr>
      <w:r w:rsidRPr="004966D8">
        <w:rPr>
          <w:rFonts w:ascii="Times New Roman" w:hAnsi="Times New Roman" w:cs="Times New Roman"/>
          <w:sz w:val="24"/>
          <w:szCs w:val="24"/>
          <w:lang w:val="sr-Cyrl-CS"/>
        </w:rPr>
        <w:t>Упоредно законодавство и правна наука познају различите врсте и форме привредних друштава. У теорији најприсутнија и могло би се рећи традионална класификација свих привредних друштава је она по којој се привредна друштва деле на друштва лица и друштва капитала.</w:t>
      </w:r>
    </w:p>
    <w:p w:rsidR="003A743E" w:rsidRDefault="003A743E" w:rsidP="003A743E">
      <w:pPr>
        <w:ind w:firstLine="720"/>
        <w:jc w:val="both"/>
        <w:rPr>
          <w:rFonts w:ascii="Times New Roman" w:hAnsi="Times New Roman" w:cs="Times New Roman"/>
          <w:sz w:val="24"/>
          <w:szCs w:val="24"/>
        </w:rPr>
      </w:pPr>
    </w:p>
    <w:p w:rsidR="003A743E" w:rsidRDefault="003A743E" w:rsidP="003A743E">
      <w:pPr>
        <w:ind w:firstLine="720"/>
        <w:jc w:val="both"/>
        <w:rPr>
          <w:rFonts w:ascii="Times New Roman" w:hAnsi="Times New Roman" w:cs="Times New Roman"/>
          <w:sz w:val="24"/>
          <w:szCs w:val="24"/>
        </w:rPr>
      </w:pPr>
    </w:p>
    <w:p w:rsidR="003A743E" w:rsidRPr="00B80F4F" w:rsidRDefault="003A743E" w:rsidP="003A743E">
      <w:pPr>
        <w:ind w:firstLine="720"/>
        <w:jc w:val="both"/>
        <w:rPr>
          <w:rFonts w:ascii="Times New Roman" w:hAnsi="Times New Roman" w:cs="Times New Roman"/>
          <w:sz w:val="24"/>
          <w:szCs w:val="24"/>
          <w:lang w:val="sr-Cyrl-CS"/>
        </w:rPr>
      </w:pPr>
      <w:r w:rsidRPr="00B80F4F">
        <w:rPr>
          <w:rFonts w:ascii="Times New Roman" w:hAnsi="Times New Roman" w:cs="Times New Roman"/>
          <w:sz w:val="24"/>
          <w:szCs w:val="24"/>
          <w:lang w:val="sr-Cyrl-CS"/>
        </w:rPr>
        <w:t xml:space="preserve">Сва привредна друштва преузимају права и обавезе путем заступања односно посредством заступника који у правном промету иступа у име и за рачун друштва. </w:t>
      </w:r>
    </w:p>
    <w:p w:rsidR="003A743E" w:rsidRDefault="003A743E" w:rsidP="003A743E">
      <w:pPr>
        <w:ind w:firstLine="720"/>
        <w:jc w:val="both"/>
        <w:rPr>
          <w:rFonts w:ascii="Times New Roman" w:hAnsi="Times New Roman" w:cs="Times New Roman"/>
          <w:sz w:val="24"/>
          <w:szCs w:val="24"/>
          <w:lang w:val="sr-Cyrl-CS"/>
        </w:rPr>
      </w:pPr>
      <w:r w:rsidRPr="00B80F4F">
        <w:rPr>
          <w:rFonts w:ascii="Times New Roman" w:hAnsi="Times New Roman" w:cs="Times New Roman"/>
          <w:sz w:val="24"/>
          <w:szCs w:val="24"/>
          <w:lang w:val="sr-Cyrl-CS"/>
        </w:rPr>
        <w:t xml:space="preserve">Наш ЗОПД прави разлику између законских (статутарних) заступника који друштво заступају </w:t>
      </w:r>
      <w:r w:rsidRPr="00273659">
        <w:rPr>
          <w:rFonts w:ascii="Times New Roman" w:hAnsi="Times New Roman" w:cs="Times New Roman"/>
          <w:i/>
          <w:sz w:val="24"/>
          <w:szCs w:val="24"/>
        </w:rPr>
        <w:t xml:space="preserve">ex </w:t>
      </w:r>
      <w:proofErr w:type="spellStart"/>
      <w:r w:rsidRPr="00273659">
        <w:rPr>
          <w:rFonts w:ascii="Times New Roman" w:hAnsi="Times New Roman" w:cs="Times New Roman"/>
          <w:i/>
          <w:sz w:val="24"/>
          <w:szCs w:val="24"/>
        </w:rPr>
        <w:t>lege</w:t>
      </w:r>
      <w:proofErr w:type="spellEnd"/>
      <w:r w:rsidRPr="00B80F4F">
        <w:rPr>
          <w:rFonts w:ascii="Times New Roman" w:hAnsi="Times New Roman" w:cs="Times New Roman"/>
          <w:sz w:val="24"/>
          <w:szCs w:val="24"/>
          <w:lang w:val="sr-Cyrl-CS"/>
        </w:rPr>
        <w:t>, а то су лица која су у смислу закона одређена као заступници појединих облика привредних друштава, и осталих заступника, који су лица овлашћена актом или или одлуком надлежног органа друштва да заступају друштво и која су као таква регистрована у складу са законом о регистрацији. Поред закона и акта друштва заступање друштва</w:t>
      </w:r>
      <w:r>
        <w:rPr>
          <w:rFonts w:ascii="Times New Roman" w:hAnsi="Times New Roman" w:cs="Times New Roman"/>
          <w:sz w:val="24"/>
          <w:szCs w:val="24"/>
          <w:lang w:val="sr-Cyrl-CS"/>
        </w:rPr>
        <w:t xml:space="preserve"> може бити засновано и на изјави</w:t>
      </w:r>
      <w:r w:rsidRPr="00B80F4F">
        <w:rPr>
          <w:rFonts w:ascii="Times New Roman" w:hAnsi="Times New Roman" w:cs="Times New Roman"/>
          <w:sz w:val="24"/>
          <w:szCs w:val="24"/>
          <w:lang w:val="sr-Cyrl-CS"/>
        </w:rPr>
        <w:t xml:space="preserve"> воље заступаног – пуномоћју, или на акту надлежног органа (стечајни управник, ликвидациони управник).</w:t>
      </w:r>
    </w:p>
    <w:p w:rsidR="003A743E" w:rsidRPr="00B80F4F" w:rsidRDefault="003A743E" w:rsidP="003A743E">
      <w:pPr>
        <w:ind w:firstLine="720"/>
        <w:jc w:val="both"/>
        <w:rPr>
          <w:rFonts w:ascii="Times New Roman" w:hAnsi="Times New Roman" w:cs="Times New Roman"/>
          <w:sz w:val="24"/>
          <w:szCs w:val="24"/>
          <w:lang w:val="sr-Cyrl-CS"/>
        </w:rPr>
      </w:pPr>
      <w:r w:rsidRPr="00B80F4F">
        <w:rPr>
          <w:rFonts w:ascii="Times New Roman" w:hAnsi="Times New Roman" w:cs="Times New Roman"/>
          <w:sz w:val="24"/>
          <w:szCs w:val="24"/>
          <w:lang w:val="sr-Cyrl-CS"/>
        </w:rPr>
        <w:t>Огранак привредног друштва (подружница, филијала) је оздвојени организациони део привредног друштва преко кога друштво обавља делатност (у складу са законом). Огранак нема својство правног лица, а у правном промету иступа у име и за рачун привредног друштва чији је део.</w:t>
      </w:r>
    </w:p>
    <w:p w:rsidR="003A743E" w:rsidRDefault="003A743E" w:rsidP="003A743E">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9E6A5A">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129-145)</w:t>
      </w:r>
    </w:p>
    <w:p w:rsidR="003A743E" w:rsidRPr="003A743E" w:rsidRDefault="003A743E" w:rsidP="003A743E">
      <w:pPr>
        <w:rPr>
          <w:rFonts w:ascii="Times New Roman" w:eastAsia="Times New Roman" w:hAnsi="Times New Roman" w:cs="Times New Roman"/>
          <w:iCs/>
          <w:sz w:val="24"/>
          <w:szCs w:val="24"/>
        </w:rPr>
      </w:pPr>
    </w:p>
    <w:p w:rsidR="003A743E" w:rsidRDefault="003A743E" w:rsidP="003A743E">
      <w:pPr>
        <w:rPr>
          <w:rFonts w:ascii="Times New Roman" w:hAnsi="Times New Roman" w:cs="Times New Roman"/>
          <w:sz w:val="20"/>
          <w:szCs w:val="20"/>
          <w:lang w:val="sr-Cyrl-CS"/>
        </w:rPr>
      </w:pPr>
    </w:p>
    <w:p w:rsidR="003A743E" w:rsidRDefault="003A743E" w:rsidP="003A743E">
      <w:pPr>
        <w:rPr>
          <w:rFonts w:ascii="Times New Roman" w:hAnsi="Times New Roman" w:cs="Times New Roman"/>
          <w:sz w:val="20"/>
          <w:szCs w:val="20"/>
          <w:lang w:val="sr-Cyrl-CS"/>
        </w:rPr>
      </w:pPr>
      <w:r w:rsidRPr="003A743E">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 који начин престају облигациони односи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компензација, а шта конфузија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 основу који се правних послова може вршити промена субјеката у неком облигационоправном односу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предмет пословног права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Наведи најважније привредне субјекте у правном систему наше државе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предузетник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Како предузетник води послове свог предузећа и како одговара за обавезе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привредно друштво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По којим се то елементима индивидуализације привредна друштва међусобно разликују ?</w:t>
      </w:r>
    </w:p>
    <w:p w:rsidR="003A743E" w:rsidRDefault="003A743E" w:rsidP="003A743E">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Шта је то огранак привредног друштва ?</w:t>
      </w: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rPr>
      </w:pPr>
    </w:p>
    <w:p w:rsidR="003A743E" w:rsidRDefault="003A743E" w:rsidP="003A743E">
      <w:pPr>
        <w:rPr>
          <w:rFonts w:ascii="Times New Roman" w:hAnsi="Times New Roman" w:cs="Times New Roman"/>
          <w:sz w:val="20"/>
          <w:szCs w:val="20"/>
          <w:lang w:val="sr-Cyrl-CS"/>
        </w:rPr>
      </w:pPr>
      <w:r w:rsidRPr="003A743E">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Облигациони односи, без обзира на њихов извор, могу престати на основу компанзације, конфузије, испуњења облигације, пренова...</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Компензација или пребијање је начин престанка облигационих обавеза сходно којем се две узајамне обавезе, односно дуговања пребијају (компензују) до износа мањег од њих или у целини, ако су узајамне обавезе односно потраживања једнаке вредности. Код конфузије пак облигација престаје услед тога што једно исто лице постане и поверилац и дужник, рецимо услед наслеђивања или припајања једног привредног друштва другом.</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Промена субјеката у неком облигационоправном односу може се вршити на основу уступања потраживања (цесије), преузимања дуга, приступања дугу, преузимању испуњења.</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Пословно право за предмет има три групе правних норми: прва група правни норми су норме којима се уређује правни положај (статус) привредних субјеката; друга група правних норми су норме којима се уређују правни послови, углавном уговори, које привредни субјекти закључују у својим међусобним пословним односима; трећа група правних норми су (према неким мишљењима) правне норме којима се уређују правни односи између привредних субјеката и државе.</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Најважнији привредни субјекти у правном систему Србије али и у упоредном праву су предузетници и привредна друштва.</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Предузетник је пословно способно физичко лице које обавља делатност у циљу остваривања прихода и које је као такво регистровано у складу са законом о регистрацији.</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Посао предузетника по правилу води он сам, а писаним овлашћењем пословођење може поверити пословно способном физичком лицу (пословођи).</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Према крајње поједностављеној дефиницији коју користи и наш Закон о привредним друштвима могло би се рећи да је привредно друштво правно лице које обавља делатност ради стицања добити.</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То су пословно име (фирма) друштва, његово седиште, национална припадност, матични број, порески идентификациони број.</w:t>
      </w:r>
    </w:p>
    <w:p w:rsidR="003A743E" w:rsidRDefault="003A743E" w:rsidP="003A743E">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Огранак привредног друштва или његова филијала је издвојени организациони део привредног друштва преко којег друштво обавља делатност, а који нема својство правног лица и у правном промету наступа у име и за рачун привредног друштва чији је део.</w:t>
      </w:r>
    </w:p>
    <w:p w:rsidR="0068437A" w:rsidRDefault="0068437A"/>
    <w:sectPr w:rsidR="0068437A" w:rsidSect="006843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363C0D"/>
    <w:multiLevelType w:val="hybridMultilevel"/>
    <w:tmpl w:val="59465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0429F5"/>
    <w:multiLevelType w:val="hybridMultilevel"/>
    <w:tmpl w:val="A76A1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A743E"/>
    <w:rsid w:val="003A743E"/>
    <w:rsid w:val="006843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4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2390</Words>
  <Characters>13625</Characters>
  <Application>Microsoft Office Word</Application>
  <DocSecurity>0</DocSecurity>
  <Lines>113</Lines>
  <Paragraphs>31</Paragraphs>
  <ScaleCrop>false</ScaleCrop>
  <Company/>
  <LinksUpToDate>false</LinksUpToDate>
  <CharactersWithSpaces>15984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Nenada</cp:lastModifiedBy>
  <cp:revision>1</cp:revision>
  <dcterms:created xsi:type="dcterms:W3CDTF">2018-12-12T12:15:00Z</dcterms:created>
  <dcterms:modified xsi:type="dcterms:W3CDTF">2018-12-12T12:18:00Z</dcterms:modified>
</cp:coreProperties>
</file>